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Style w:val="7"/>
          <w:rFonts w:hint="eastAsia" w:ascii="方正小标宋简体" w:hAnsi="方正小标宋简体" w:eastAsia="方正小标宋简体" w:cs="方正小标宋简体"/>
          <w:color w:val="auto"/>
          <w:sz w:val="44"/>
          <w:szCs w:val="44"/>
          <w:u w:val="none"/>
        </w:rPr>
      </w:pPr>
    </w:p>
    <w:p>
      <w:pPr>
        <w:pStyle w:val="2"/>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Style w:val="7"/>
          <w:rFonts w:hint="eastAsia" w:ascii="仿宋_GB2312" w:hAnsi="仿宋_GB2312" w:eastAsia="仿宋_GB2312" w:cs="仿宋_GB2312"/>
          <w:color w:val="auto"/>
          <w:sz w:val="44"/>
          <w:szCs w:val="44"/>
          <w:u w:val="none"/>
        </w:rPr>
      </w:pPr>
      <w:r>
        <w:rPr>
          <w:rStyle w:val="7"/>
          <w:rFonts w:hint="eastAsia" w:ascii="方正小标宋简体" w:hAnsi="方正小标宋简体" w:eastAsia="方正小标宋简体" w:cs="方正小标宋简体"/>
          <w:color w:val="auto"/>
          <w:sz w:val="44"/>
          <w:szCs w:val="44"/>
          <w:u w:val="none"/>
        </w:rPr>
        <w:t>财政部 国家税务总局关于全面推开营业税改征增值税试点的通知</w:t>
      </w:r>
    </w:p>
    <w:p>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财税〔2016〕36号</w:t>
      </w:r>
    </w:p>
    <w:p>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color w:val="auto"/>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各省、自治区、直辖市、计划单列市财政厅（局）、国家税务局、地方税务局，新疆生产建设兵团财务局：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　　经国务院批准，自2016年5月1日起，在全国范围内全面推开营业税改征增值税（以下称营改增）试点，建筑业、房地产业、金融业、生活服务业等全部营业税纳税人，纳入试点范围，由缴纳营业税改为缴纳增值税。现将《营业税改征增值税试点实施办法》、《营业税改征增值税试点有关事项的规定》、《营业税改征增值税试点过渡政策的规定》和《跨境应税行为适用增值税零税率和免税政策的规定》印发你们，请遵照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　　本通知附件规定的内容，除另有规定执行时间外，自2016年5月1日起执行。《财政部 国家税务总局关于将铁路运输和邮政业纳入营业税改征增值税试点的通知》（财税〔2013〕106号）、《财政部 国家税务总局关于铁路运输和邮政业营业税改征增值税试点有关政策的补充通知》（财税〔2013〕121号）、《财政部 国家税务总局关于将电信业纳入营业税改征增值税试点的通知》（财税〔2014〕43号）、《财政部 国家税务总局关于国际水路运输增值税零税率政策的补充通知》（财税〔2014〕50号）和《财政部 国家税务总局关于影视等出口服务适用增值税零税率政策的通知》（财税〔2015〕118号），除另有规定的条款外，相应废止。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　　各地要高度重视营改增试点工作，切实加强试点工作的组织领导，周密安排，明确责任，采取各种有效措施，做好试点前的各项准备以及试点过程中的监测分析和宣传解释等工作，确保改革的平稳、有序、顺利进行。遇到问题请及时向财政部和国家税务总局反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　　附件：1.</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"http://www.chinatax.gov.cn/n810341/n810755/c2043931/5127107/files/6fca8e97989f46e4b023216abca540a3.docx"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u w:val="none"/>
          <w:shd w:val="clear" w:fill="FFFFFF"/>
        </w:rPr>
        <w:t>营业税改征增值税试点实施办法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　　　　　2.</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"http://www.chinatax.gov.cn/n810341/n810755/c2043931/5127107/files/2ede8105709348c6961d3b502c32dd25.docx"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u w:val="none"/>
          <w:shd w:val="clear" w:fill="FFFFFF"/>
        </w:rPr>
        <w:t>营业税改征增值税试点有关事项的规定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　　　　　3.</w:t>
      </w:r>
      <w:r>
        <w:rPr>
          <w:rFonts w:hint="eastAsia" w:ascii="仿宋_GB2312" w:hAnsi="仿宋_GB2312" w:eastAsia="仿宋_GB2312" w:cs="仿宋_GB2312"/>
          <w:i w:val="0"/>
          <w:iCs w:val="0"/>
          <w:caps w:val="0"/>
          <w:color w:val="auto"/>
          <w:spacing w:val="0"/>
          <w:sz w:val="32"/>
          <w:szCs w:val="32"/>
          <w:shd w:val="clear" w:fill="FFFFFF"/>
        </w:rPr>
        <w:fldChar w:fldCharType="begin"/>
      </w:r>
      <w:r>
        <w:rPr>
          <w:rFonts w:hint="eastAsia" w:ascii="仿宋_GB2312" w:hAnsi="仿宋_GB2312" w:eastAsia="仿宋_GB2312" w:cs="仿宋_GB2312"/>
          <w:i w:val="0"/>
          <w:iCs w:val="0"/>
          <w:caps w:val="0"/>
          <w:color w:val="auto"/>
          <w:spacing w:val="0"/>
          <w:sz w:val="32"/>
          <w:szCs w:val="32"/>
          <w:shd w:val="clear" w:fill="FFFFFF"/>
        </w:rPr>
        <w:instrText xml:space="preserve"> HYPERLINK "http://www.chinatax.gov.cn/n810341/n810755/c2043931/5127107/files/159e97c64ae641f2b44aa596e7a91c83.docx" </w:instrText>
      </w:r>
      <w:r>
        <w:rPr>
          <w:rFonts w:hint="eastAsia" w:ascii="仿宋_GB2312" w:hAnsi="仿宋_GB2312" w:eastAsia="仿宋_GB2312" w:cs="仿宋_GB2312"/>
          <w:i w:val="0"/>
          <w:iCs w:val="0"/>
          <w:caps w:val="0"/>
          <w:color w:val="auto"/>
          <w:spacing w:val="0"/>
          <w:sz w:val="32"/>
          <w:szCs w:val="32"/>
          <w:shd w:val="clear" w:fill="FFFFFF"/>
        </w:rPr>
        <w:fldChar w:fldCharType="separate"/>
      </w:r>
      <w:r>
        <w:rPr>
          <w:rFonts w:hint="eastAsia" w:ascii="仿宋_GB2312" w:hAnsi="仿宋_GB2312" w:eastAsia="仿宋_GB2312" w:cs="仿宋_GB2312"/>
          <w:i w:val="0"/>
          <w:iCs w:val="0"/>
          <w:caps w:val="0"/>
          <w:color w:val="auto"/>
          <w:spacing w:val="0"/>
          <w:sz w:val="32"/>
          <w:szCs w:val="32"/>
          <w:shd w:val="clear" w:fill="FFFFFF"/>
        </w:rPr>
        <w:fldChar w:fldCharType="end"/>
      </w:r>
      <w:r>
        <w:rPr>
          <w:rFonts w:hint="eastAsia" w:ascii="仿宋_GB2312" w:hAnsi="仿宋_GB2312" w:eastAsia="仿宋_GB2312" w:cs="仿宋_GB2312"/>
          <w:i w:val="0"/>
          <w:iCs w:val="0"/>
          <w:caps w:val="0"/>
          <w:color w:val="auto"/>
          <w:spacing w:val="0"/>
          <w:sz w:val="32"/>
          <w:szCs w:val="32"/>
          <w:u w:val="none"/>
          <w:shd w:val="clear" w:fill="FFFFFF"/>
        </w:rPr>
        <w:t>营业税改征增值税试点过渡政策的规定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r>
        <w:rPr>
          <w:rFonts w:hint="eastAsia" w:ascii="仿宋_GB2312" w:hAnsi="仿宋_GB2312" w:eastAsia="仿宋_GB2312" w:cs="仿宋_GB2312"/>
          <w:i w:val="0"/>
          <w:iCs w:val="0"/>
          <w:caps w:val="0"/>
          <w:color w:val="auto"/>
          <w:spacing w:val="0"/>
          <w:sz w:val="32"/>
          <w:szCs w:val="32"/>
          <w:shd w:val="clear" w:fill="FFFFFF"/>
        </w:rPr>
        <w:t>　　　　　4.</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"http://www.chinatax.gov.cn/n810341/n810755/c2043931/5127107/files/bb732efa97bd431cbda18ba9f42219e3.docx"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u w:val="none"/>
          <w:shd w:val="clear" w:fill="FFFFFF"/>
        </w:rPr>
        <w:t>跨境应税行为适用增值税零税率和免税政策的规定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仿宋_GB2312" w:hAnsi="仿宋_GB2312" w:eastAsia="仿宋_GB2312" w:cs="仿宋_GB2312"/>
          <w:i w:val="0"/>
          <w:iCs w:val="0"/>
          <w:caps w:val="0"/>
          <w:color w:val="auto"/>
          <w:spacing w:val="0"/>
          <w:sz w:val="32"/>
          <w:szCs w:val="32"/>
          <w:u w:val="none"/>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600" w:hangingChars="500"/>
        <w:textAlignment w:val="auto"/>
        <w:rPr>
          <w:rFonts w:hint="eastAsia" w:ascii="黑体" w:hAnsi="黑体" w:eastAsia="黑体" w:cs="黑体"/>
          <w:i w:val="0"/>
          <w:iCs w:val="0"/>
          <w:caps w:val="0"/>
          <w:color w:val="auto"/>
          <w:spacing w:val="0"/>
          <w:sz w:val="32"/>
          <w:szCs w:val="32"/>
          <w:u w:val="none"/>
          <w:shd w:val="clear" w:fill="FFFFFF"/>
          <w:lang w:val="en-US" w:eastAsia="zh-CN"/>
        </w:rPr>
      </w:pPr>
      <w:r>
        <w:rPr>
          <w:rFonts w:hint="eastAsia" w:ascii="黑体" w:hAnsi="黑体" w:eastAsia="黑体" w:cs="黑体"/>
          <w:i w:val="0"/>
          <w:iCs w:val="0"/>
          <w:caps w:val="0"/>
          <w:color w:val="auto"/>
          <w:spacing w:val="0"/>
          <w:sz w:val="32"/>
          <w:szCs w:val="32"/>
          <w:u w:val="none"/>
          <w:shd w:val="clear" w:fill="FFFFFF"/>
          <w:lang w:val="en-US" w:eastAsia="zh-CN"/>
        </w:rPr>
        <w:t>附件 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800" w:hangingChars="500"/>
        <w:jc w:val="center"/>
        <w:textAlignment w:val="auto"/>
        <w:rPr>
          <w:rFonts w:hint="eastAsia" w:ascii="方正小标宋简体" w:hAnsi="方正小标宋简体" w:eastAsia="方正小标宋简体" w:cs="方正小标宋简体"/>
          <w:i w:val="0"/>
          <w:iCs w:val="0"/>
          <w:caps w:val="0"/>
          <w:color w:val="auto"/>
          <w:spacing w:val="0"/>
          <w:sz w:val="36"/>
          <w:szCs w:val="36"/>
          <w:u w:val="none"/>
          <w:shd w:val="clear" w:fill="FFFFFF"/>
        </w:rPr>
      </w:pPr>
      <w:r>
        <w:rPr>
          <w:rFonts w:hint="eastAsia" w:ascii="方正小标宋简体" w:hAnsi="方正小标宋简体" w:eastAsia="方正小标宋简体" w:cs="方正小标宋简体"/>
          <w:i w:val="0"/>
          <w:iCs w:val="0"/>
          <w:caps w:val="0"/>
          <w:color w:val="auto"/>
          <w:spacing w:val="0"/>
          <w:sz w:val="36"/>
          <w:szCs w:val="36"/>
          <w:u w:val="none"/>
          <w:shd w:val="clear" w:fill="FFFFFF"/>
        </w:rPr>
        <w:fldChar w:fldCharType="begin"/>
      </w:r>
      <w:r>
        <w:rPr>
          <w:rFonts w:hint="eastAsia" w:ascii="方正小标宋简体" w:hAnsi="方正小标宋简体" w:eastAsia="方正小标宋简体" w:cs="方正小标宋简体"/>
          <w:i w:val="0"/>
          <w:iCs w:val="0"/>
          <w:caps w:val="0"/>
          <w:color w:val="auto"/>
          <w:spacing w:val="0"/>
          <w:sz w:val="36"/>
          <w:szCs w:val="36"/>
          <w:u w:val="none"/>
          <w:shd w:val="clear" w:fill="FFFFFF"/>
        </w:rPr>
        <w:instrText xml:space="preserve"> HYPERLINK "http://www.chinatax.gov.cn/n810341/n810755/c2043931/5127107/files/6fca8e97989f46e4b023216abca540a3.docx" </w:instrText>
      </w:r>
      <w:r>
        <w:rPr>
          <w:rFonts w:hint="eastAsia" w:ascii="方正小标宋简体" w:hAnsi="方正小标宋简体" w:eastAsia="方正小标宋简体" w:cs="方正小标宋简体"/>
          <w:i w:val="0"/>
          <w:iCs w:val="0"/>
          <w:caps w:val="0"/>
          <w:color w:val="auto"/>
          <w:spacing w:val="0"/>
          <w:sz w:val="36"/>
          <w:szCs w:val="36"/>
          <w:u w:val="none"/>
          <w:shd w:val="clear" w:fill="FFFFFF"/>
        </w:rPr>
        <w:fldChar w:fldCharType="separate"/>
      </w:r>
      <w:r>
        <w:rPr>
          <w:rFonts w:hint="eastAsia" w:ascii="方正小标宋简体" w:hAnsi="方正小标宋简体" w:eastAsia="方正小标宋简体" w:cs="方正小标宋简体"/>
          <w:i w:val="0"/>
          <w:iCs w:val="0"/>
          <w:caps w:val="0"/>
          <w:color w:val="auto"/>
          <w:spacing w:val="0"/>
          <w:sz w:val="36"/>
          <w:szCs w:val="36"/>
          <w:u w:val="none"/>
          <w:shd w:val="clear" w:fill="FFFFFF"/>
        </w:rPr>
        <w:fldChar w:fldCharType="end"/>
      </w:r>
      <w:r>
        <w:rPr>
          <w:rFonts w:hint="eastAsia" w:ascii="方正小标宋简体" w:hAnsi="方正小标宋简体" w:eastAsia="方正小标宋简体" w:cs="方正小标宋简体"/>
          <w:i w:val="0"/>
          <w:iCs w:val="0"/>
          <w:caps w:val="0"/>
          <w:color w:val="auto"/>
          <w:spacing w:val="0"/>
          <w:sz w:val="36"/>
          <w:szCs w:val="36"/>
          <w:u w:val="none"/>
          <w:shd w:val="clear" w:fill="FFFFFF"/>
        </w:rPr>
        <w:fldChar w:fldCharType="begin"/>
      </w:r>
      <w:r>
        <w:rPr>
          <w:rFonts w:hint="eastAsia" w:ascii="方正小标宋简体" w:hAnsi="方正小标宋简体" w:eastAsia="方正小标宋简体" w:cs="方正小标宋简体"/>
          <w:i w:val="0"/>
          <w:iCs w:val="0"/>
          <w:caps w:val="0"/>
          <w:color w:val="auto"/>
          <w:spacing w:val="0"/>
          <w:sz w:val="36"/>
          <w:szCs w:val="36"/>
          <w:u w:val="none"/>
          <w:shd w:val="clear" w:fill="FFFFFF"/>
        </w:rPr>
        <w:instrText xml:space="preserve"> HYPERLINK "http://www.chinatax.gov.cn/n810341/n810755/c2043931/5127107/files/ca44caf9ad274244b708ad45fd612251.doc" \t "http://www.chinatax.gov.cn/n810341/n810755/c2043931/_blank" </w:instrText>
      </w:r>
      <w:r>
        <w:rPr>
          <w:rFonts w:hint="eastAsia" w:ascii="方正小标宋简体" w:hAnsi="方正小标宋简体" w:eastAsia="方正小标宋简体" w:cs="方正小标宋简体"/>
          <w:i w:val="0"/>
          <w:iCs w:val="0"/>
          <w:caps w:val="0"/>
          <w:color w:val="auto"/>
          <w:spacing w:val="0"/>
          <w:sz w:val="36"/>
          <w:szCs w:val="36"/>
          <w:u w:val="none"/>
          <w:shd w:val="clear" w:fill="FFFFFF"/>
        </w:rPr>
        <w:fldChar w:fldCharType="separate"/>
      </w:r>
      <w:r>
        <w:rPr>
          <w:rStyle w:val="7"/>
          <w:rFonts w:hint="eastAsia" w:ascii="方正小标宋简体" w:hAnsi="方正小标宋简体" w:eastAsia="方正小标宋简体" w:cs="方正小标宋简体"/>
          <w:i w:val="0"/>
          <w:iCs w:val="0"/>
          <w:caps w:val="0"/>
          <w:color w:val="auto"/>
          <w:spacing w:val="0"/>
          <w:sz w:val="36"/>
          <w:szCs w:val="36"/>
          <w:u w:val="none"/>
          <w:shd w:val="clear" w:fill="FFFFFF"/>
        </w:rPr>
        <w:t>营业税改征增值税试点实施办法</w:t>
      </w:r>
      <w:r>
        <w:rPr>
          <w:rFonts w:hint="eastAsia" w:ascii="方正小标宋简体" w:hAnsi="方正小标宋简体" w:eastAsia="方正小标宋简体" w:cs="方正小标宋简体"/>
          <w:i w:val="0"/>
          <w:iCs w:val="0"/>
          <w:caps w:val="0"/>
          <w:color w:val="auto"/>
          <w:spacing w:val="0"/>
          <w:sz w:val="36"/>
          <w:szCs w:val="36"/>
          <w:u w:val="none"/>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hanging="1800" w:hangingChars="500"/>
        <w:jc w:val="center"/>
        <w:textAlignment w:val="auto"/>
        <w:rPr>
          <w:rFonts w:hint="eastAsia" w:ascii="仿宋_GB2312" w:hAnsi="仿宋_GB2312" w:eastAsia="仿宋_GB2312" w:cs="仿宋_GB2312"/>
          <w:i w:val="0"/>
          <w:iCs w:val="0"/>
          <w:caps w:val="0"/>
          <w:color w:val="auto"/>
          <w:spacing w:val="0"/>
          <w:sz w:val="36"/>
          <w:szCs w:val="36"/>
          <w:u w:val="none"/>
          <w:shd w:val="clear" w:fill="FFFFFF"/>
        </w:rPr>
      </w:pP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center"/>
        <w:textAlignment w:val="auto"/>
        <w:rPr>
          <w:rFonts w:hint="eastAsia" w:ascii="黑体" w:hAnsi="黑体" w:eastAsia="黑体" w:cs="黑体"/>
          <w:i w:val="0"/>
          <w:iCs w:val="0"/>
          <w:caps w:val="0"/>
          <w:color w:val="auto"/>
          <w:spacing w:val="0"/>
          <w:sz w:val="32"/>
          <w:szCs w:val="32"/>
          <w:shd w:val="clear" w:fill="FFFFFF"/>
        </w:rPr>
      </w:pPr>
      <w:r>
        <w:rPr>
          <w:rStyle w:val="6"/>
          <w:rFonts w:hint="eastAsia" w:ascii="黑体" w:hAnsi="黑体" w:eastAsia="黑体" w:cs="黑体"/>
          <w:b w:val="0"/>
          <w:bCs/>
          <w:i w:val="0"/>
          <w:iCs w:val="0"/>
          <w:caps w:val="0"/>
          <w:color w:val="auto"/>
          <w:spacing w:val="0"/>
          <w:sz w:val="32"/>
          <w:szCs w:val="32"/>
          <w:shd w:val="clear" w:fill="FFFFFF"/>
        </w:rPr>
        <w:t>纳税人和扣缴义务人</w:t>
      </w:r>
      <w:r>
        <w:rPr>
          <w:rFonts w:hint="eastAsia" w:ascii="黑体" w:hAnsi="黑体" w:eastAsia="黑体" w:cs="黑体"/>
          <w:i w:val="0"/>
          <w:iCs w:val="0"/>
          <w:caps w:val="0"/>
          <w:color w:val="auto"/>
          <w:spacing w:val="0"/>
          <w:sz w:val="32"/>
          <w:szCs w:val="32"/>
          <w:shd w:val="clear" w:fill="FFFFFF"/>
        </w:rPr>
        <w:br w:type="textWrapping"/>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第一条 </w:t>
      </w:r>
      <w:r>
        <w:rPr>
          <w:rFonts w:hint="eastAsia" w:ascii="仿宋_GB2312" w:hAnsi="仿宋_GB2312" w:eastAsia="仿宋_GB2312" w:cs="仿宋_GB2312"/>
          <w:i w:val="0"/>
          <w:iCs w:val="0"/>
          <w:caps w:val="0"/>
          <w:color w:val="auto"/>
          <w:spacing w:val="0"/>
          <w:sz w:val="32"/>
          <w:szCs w:val="32"/>
          <w:shd w:val="clear" w:fill="FFFFFF"/>
        </w:rPr>
        <w:t>在中华人民共和国境内（以下称境内）销售服务、无形资产或者不动产（以下称应税行为）的单位和个人，为增值税纳税人，应当按照本办法缴纳增值税，不缴纳营业税。</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单位，是指企业、行政单位、事业单位、军事单位、社会团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体及其他单位。个人，是指个体工商户和其他个人。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第二条 </w:t>
      </w:r>
      <w:r>
        <w:rPr>
          <w:rFonts w:hint="eastAsia" w:ascii="仿宋_GB2312" w:hAnsi="仿宋_GB2312" w:eastAsia="仿宋_GB2312" w:cs="仿宋_GB2312"/>
          <w:i w:val="0"/>
          <w:iCs w:val="0"/>
          <w:caps w:val="0"/>
          <w:color w:val="auto"/>
          <w:spacing w:val="0"/>
          <w:sz w:val="32"/>
          <w:szCs w:val="32"/>
          <w:shd w:val="clear" w:fill="FFFFFF"/>
        </w:rPr>
        <w:t>单位以承包、承租、挂靠方式经营的，承包人、承租人、挂靠人（以下统称承包人）以发包人、出租人、被挂靠人（以下统称发包人）名义对外经营并由发包人承担相关法律责任的，以该发包人为纳税人。否则，以承包人为纳税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第三条 </w:t>
      </w:r>
      <w:r>
        <w:rPr>
          <w:rFonts w:hint="eastAsia" w:ascii="仿宋_GB2312" w:hAnsi="仿宋_GB2312" w:eastAsia="仿宋_GB2312" w:cs="仿宋_GB2312"/>
          <w:i w:val="0"/>
          <w:iCs w:val="0"/>
          <w:caps w:val="0"/>
          <w:color w:val="auto"/>
          <w:spacing w:val="0"/>
          <w:sz w:val="32"/>
          <w:szCs w:val="32"/>
          <w:shd w:val="clear" w:fill="FFFFFF"/>
        </w:rPr>
        <w:t>纳税人分为一般纳税人和小规模纳税人。</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应税行为的年应征增值税销售额（以下称应税销售额）超过财政部和国家税务总局规定标准的纳税人为一般纳税人，未超过规定标准的纳税人为小规模纳税人。年应税销售额超过规定标准的其他个人不属于一般纳税人。年应税销售额超过规定标准但不经常发生应税行为的单位和个体工商户可选择按照小规模纳税人纳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第四条 </w:t>
      </w:r>
      <w:r>
        <w:rPr>
          <w:rFonts w:hint="eastAsia" w:ascii="仿宋_GB2312" w:hAnsi="仿宋_GB2312" w:eastAsia="仿宋_GB2312" w:cs="仿宋_GB2312"/>
          <w:i w:val="0"/>
          <w:iCs w:val="0"/>
          <w:caps w:val="0"/>
          <w:color w:val="auto"/>
          <w:spacing w:val="0"/>
          <w:sz w:val="32"/>
          <w:szCs w:val="32"/>
          <w:shd w:val="clear" w:fill="FFFFFF"/>
        </w:rPr>
        <w:t>年应税销售额未超过规定标准的纳税人，会计核算健全，能够提供准确税务资料的，可以向主管税务机关办理一般纳税人资格登记，成为一般纳税人。会计核算健全，是指能够按照国家统一的会计制度规定设置账簿，根据合法、有效凭证核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第五条 </w:t>
      </w:r>
      <w:r>
        <w:rPr>
          <w:rFonts w:hint="eastAsia" w:ascii="仿宋_GB2312" w:hAnsi="仿宋_GB2312" w:eastAsia="仿宋_GB2312" w:cs="仿宋_GB2312"/>
          <w:i w:val="0"/>
          <w:iCs w:val="0"/>
          <w:caps w:val="0"/>
          <w:color w:val="auto"/>
          <w:spacing w:val="0"/>
          <w:sz w:val="32"/>
          <w:szCs w:val="32"/>
          <w:shd w:val="clear" w:fill="FFFFFF"/>
        </w:rPr>
        <w:t>符合一般纳税人条件的纳税人应当向主管税务机关办理一般纳税人资格登记。具体登记办法由国家税务总局制定。除国家税务总局另有规定外，一经登记为一般纳税人后，不得转为小规模纳税人。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第六条 </w:t>
      </w:r>
      <w:r>
        <w:rPr>
          <w:rFonts w:hint="eastAsia" w:ascii="仿宋_GB2312" w:hAnsi="仿宋_GB2312" w:eastAsia="仿宋_GB2312" w:cs="仿宋_GB2312"/>
          <w:i w:val="0"/>
          <w:iCs w:val="0"/>
          <w:caps w:val="0"/>
          <w:color w:val="auto"/>
          <w:spacing w:val="0"/>
          <w:sz w:val="32"/>
          <w:szCs w:val="32"/>
          <w:shd w:val="clear" w:fill="FFFFFF"/>
        </w:rPr>
        <w:t>中华人民共和国境外（以下称境外）单位或者个人在境内发生应税行为，在境内未设有经营机构的，以购买方为增值税扣缴义务人。财政部和国家税务总局另有规定的除外。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第七条 【自2017年7月1日起废止】</w:t>
      </w:r>
      <w:r>
        <w:rPr>
          <w:rFonts w:hint="eastAsia" w:ascii="仿宋_GB2312" w:hAnsi="仿宋_GB2312" w:eastAsia="仿宋_GB2312" w:cs="仿宋_GB2312"/>
          <w:i w:val="0"/>
          <w:iCs w:val="0"/>
          <w:caps w:val="0"/>
          <w:color w:val="auto"/>
          <w:spacing w:val="0"/>
          <w:sz w:val="32"/>
          <w:szCs w:val="32"/>
          <w:shd w:val="clear" w:fill="FFFFFF"/>
        </w:rPr>
        <w:t>两个或者两个以上的纳税人，经财政部和国家税务总局批准可以视为一个纳税人合并纳税。具体办法由财政部和国家税务总局另行制定。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第八条 </w:t>
      </w:r>
      <w:r>
        <w:rPr>
          <w:rFonts w:hint="eastAsia" w:ascii="仿宋_GB2312" w:hAnsi="仿宋_GB2312" w:eastAsia="仿宋_GB2312" w:cs="仿宋_GB2312"/>
          <w:i w:val="0"/>
          <w:iCs w:val="0"/>
          <w:caps w:val="0"/>
          <w:color w:val="auto"/>
          <w:spacing w:val="0"/>
          <w:sz w:val="32"/>
          <w:szCs w:val="32"/>
          <w:shd w:val="clear" w:fill="FFFFFF"/>
        </w:rPr>
        <w:t>纳税人应当按照国家统一的会计制度进行增值税会计核算。</w:t>
      </w:r>
      <w:r>
        <w:rPr>
          <w:rStyle w:val="6"/>
          <w:rFonts w:hint="eastAsia" w:ascii="仿宋_GB2312" w:hAnsi="仿宋_GB2312" w:eastAsia="仿宋_GB2312" w:cs="仿宋_GB2312"/>
          <w:i w:val="0"/>
          <w:iCs w:val="0"/>
          <w:caps w:val="0"/>
          <w:color w:val="auto"/>
          <w:spacing w:val="0"/>
          <w:sz w:val="32"/>
          <w:szCs w:val="32"/>
          <w:shd w:val="clear" w:fill="FFFFFF"/>
        </w:rPr>
        <w:br w:type="textWrapping"/>
      </w:r>
      <w:r>
        <w:rPr>
          <w:rStyle w:val="6"/>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Style w:val="6"/>
          <w:rFonts w:hint="eastAsia" w:ascii="仿宋_GB2312" w:hAnsi="仿宋_GB2312" w:eastAsia="仿宋_GB2312" w:cs="仿宋_GB2312"/>
          <w:i w:val="0"/>
          <w:iCs w:val="0"/>
          <w:caps w:val="0"/>
          <w:color w:val="auto"/>
          <w:spacing w:val="0"/>
          <w:sz w:val="32"/>
          <w:szCs w:val="32"/>
          <w:shd w:val="clear" w:fill="FFFFFF"/>
        </w:rPr>
        <w:t>第二章 征税范围</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第九条 </w:t>
      </w:r>
      <w:r>
        <w:rPr>
          <w:rFonts w:hint="eastAsia" w:ascii="仿宋_GB2312" w:hAnsi="仿宋_GB2312" w:eastAsia="仿宋_GB2312" w:cs="仿宋_GB2312"/>
          <w:i w:val="0"/>
          <w:iCs w:val="0"/>
          <w:caps w:val="0"/>
          <w:color w:val="auto"/>
          <w:spacing w:val="0"/>
          <w:sz w:val="32"/>
          <w:szCs w:val="32"/>
          <w:shd w:val="clear" w:fill="FFFFFF"/>
        </w:rPr>
        <w:t>应税行为的具体范围，按照本办法所附的《</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"https://www.waizi.org.cn/law/9777.html" \o "《销售服务、无形资产、不动产注释》2016年版全文" \t "https://www.waizi.org.cn/shuishounews/_blank"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销售服务、无形资产、不动产注释</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第十条 </w:t>
      </w:r>
      <w:r>
        <w:rPr>
          <w:rFonts w:hint="eastAsia" w:ascii="仿宋_GB2312" w:hAnsi="仿宋_GB2312" w:eastAsia="仿宋_GB2312" w:cs="仿宋_GB2312"/>
          <w:i w:val="0"/>
          <w:iCs w:val="0"/>
          <w:caps w:val="0"/>
          <w:color w:val="auto"/>
          <w:spacing w:val="0"/>
          <w:sz w:val="32"/>
          <w:szCs w:val="32"/>
          <w:shd w:val="clear" w:fill="FFFFFF"/>
        </w:rPr>
        <w:t>销售服务、无形资产或者不动产，是指有偿提供服务、有偿转让无形资产或者不动产，但属于下列非经营活动的情形除外：</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行政单位收取的同时满足以下条件的政府性基金或者行政事业性收费。</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由国务院或者财政部批准设立的政府性基金，由国务院或者省级人民政府及其财政、价格主管部门批准设立的行政事业性收费；</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收取时开具省级以上（含省级）财政部门监（印）制的财政票据；</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3.所收款项全额上缴财政。</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（二）单位或者个体工商户聘用的员工为本单位或者雇主提供取得工资的服务。</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（三）单位或者个体工商户为聘用的员工提供服务。</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（四）财政部和国家税务总局规定的其他情形。</w:t>
      </w:r>
      <w:r>
        <w:rPr>
          <w:rFonts w:hint="eastAsia" w:ascii="仿宋_GB2312" w:hAnsi="仿宋_GB2312" w:eastAsia="仿宋_GB2312" w:cs="仿宋_GB2312"/>
          <w:i w:val="0"/>
          <w:iCs w:val="0"/>
          <w:caps w:val="0"/>
          <w:color w:val="auto"/>
          <w:spacing w:val="0"/>
          <w:sz w:val="32"/>
          <w:szCs w:val="32"/>
          <w:shd w:val="clear" w:fill="FFFFFF"/>
        </w:rPr>
        <w:br w:type="textWrapping"/>
      </w:r>
      <w:r>
        <w:rPr>
          <w:rStyle w:val="6"/>
          <w:rFonts w:hint="eastAsia" w:ascii="仿宋_GB2312" w:hAnsi="仿宋_GB2312" w:eastAsia="仿宋_GB2312" w:cs="仿宋_GB2312"/>
          <w:i w:val="0"/>
          <w:iCs w:val="0"/>
          <w:caps w:val="0"/>
          <w:color w:val="auto"/>
          <w:spacing w:val="0"/>
          <w:sz w:val="32"/>
          <w:szCs w:val="32"/>
          <w:shd w:val="clear" w:fill="FFFFFF"/>
        </w:rPr>
        <w:t>第十一条 </w:t>
      </w:r>
      <w:r>
        <w:rPr>
          <w:rFonts w:hint="eastAsia" w:ascii="仿宋_GB2312" w:hAnsi="仿宋_GB2312" w:eastAsia="仿宋_GB2312" w:cs="仿宋_GB2312"/>
          <w:i w:val="0"/>
          <w:iCs w:val="0"/>
          <w:caps w:val="0"/>
          <w:color w:val="auto"/>
          <w:spacing w:val="0"/>
          <w:sz w:val="32"/>
          <w:szCs w:val="32"/>
          <w:shd w:val="clear" w:fill="FFFFFF"/>
        </w:rPr>
        <w:t>有偿，是指取得货币、货物或者其他经济利益。</w:t>
      </w:r>
      <w:r>
        <w:rPr>
          <w:rFonts w:hint="eastAsia" w:ascii="仿宋_GB2312" w:hAnsi="仿宋_GB2312" w:eastAsia="仿宋_GB2312" w:cs="仿宋_GB2312"/>
          <w:i w:val="0"/>
          <w:iCs w:val="0"/>
          <w:caps w:val="0"/>
          <w:color w:val="auto"/>
          <w:spacing w:val="0"/>
          <w:sz w:val="32"/>
          <w:szCs w:val="32"/>
          <w:shd w:val="clear" w:fill="FFFFFF"/>
        </w:rPr>
        <w:br w:type="textWrapping"/>
      </w:r>
      <w:r>
        <w:rPr>
          <w:rStyle w:val="6"/>
          <w:rFonts w:hint="eastAsia" w:ascii="仿宋_GB2312" w:hAnsi="仿宋_GB2312" w:eastAsia="仿宋_GB2312" w:cs="仿宋_GB2312"/>
          <w:i w:val="0"/>
          <w:iCs w:val="0"/>
          <w:caps w:val="0"/>
          <w:color w:val="auto"/>
          <w:spacing w:val="0"/>
          <w:sz w:val="32"/>
          <w:szCs w:val="32"/>
          <w:shd w:val="clear" w:fill="FFFFFF"/>
        </w:rPr>
        <w:t>第十二条 </w:t>
      </w:r>
      <w:r>
        <w:rPr>
          <w:rFonts w:hint="eastAsia" w:ascii="仿宋_GB2312" w:hAnsi="仿宋_GB2312" w:eastAsia="仿宋_GB2312" w:cs="仿宋_GB2312"/>
          <w:i w:val="0"/>
          <w:iCs w:val="0"/>
          <w:caps w:val="0"/>
          <w:color w:val="auto"/>
          <w:spacing w:val="0"/>
          <w:sz w:val="32"/>
          <w:szCs w:val="32"/>
          <w:shd w:val="clear" w:fill="FFFFFF"/>
        </w:rPr>
        <w:t>在境内销售服务、无形资产或者不动产，是指：</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（一）服务（租赁不动产除外）或者无形资产（自然资源使用权除外）的销售方或者购买方在境内；</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（二）所销售或者租赁的不动产在境内；</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（三）所销售自然资源使用权的自然资源在境内；</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（四）财政部和国家税务总局规定的其他情形。</w:t>
      </w:r>
      <w:r>
        <w:rPr>
          <w:rFonts w:hint="eastAsia" w:ascii="仿宋_GB2312" w:hAnsi="仿宋_GB2312" w:eastAsia="仿宋_GB2312" w:cs="仿宋_GB2312"/>
          <w:i w:val="0"/>
          <w:iCs w:val="0"/>
          <w:caps w:val="0"/>
          <w:color w:val="auto"/>
          <w:spacing w:val="0"/>
          <w:sz w:val="32"/>
          <w:szCs w:val="32"/>
          <w:shd w:val="clear" w:fill="FFFFFF"/>
        </w:rPr>
        <w:br w:type="textWrapping"/>
      </w:r>
      <w:r>
        <w:rPr>
          <w:rStyle w:val="6"/>
          <w:rFonts w:hint="eastAsia" w:ascii="仿宋_GB2312" w:hAnsi="仿宋_GB2312" w:eastAsia="仿宋_GB2312" w:cs="仿宋_GB2312"/>
          <w:i w:val="0"/>
          <w:iCs w:val="0"/>
          <w:caps w:val="0"/>
          <w:color w:val="auto"/>
          <w:spacing w:val="0"/>
          <w:sz w:val="32"/>
          <w:szCs w:val="32"/>
          <w:shd w:val="clear" w:fill="FFFFFF"/>
        </w:rPr>
        <w:t>第十三条 </w:t>
      </w:r>
      <w:r>
        <w:rPr>
          <w:rFonts w:hint="eastAsia" w:ascii="仿宋_GB2312" w:hAnsi="仿宋_GB2312" w:eastAsia="仿宋_GB2312" w:cs="仿宋_GB2312"/>
          <w:i w:val="0"/>
          <w:iCs w:val="0"/>
          <w:caps w:val="0"/>
          <w:color w:val="auto"/>
          <w:spacing w:val="0"/>
          <w:sz w:val="32"/>
          <w:szCs w:val="32"/>
          <w:shd w:val="clear" w:fill="FFFFFF"/>
        </w:rPr>
        <w:t>下列情形不属于在境内销售服务或者无形资产：</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（一）境外单位或者个人向境内单位或者个人销售完全在境外发生的服务。</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（二）境外单位或者个人向境内单位或者个人销售完全在境外使用的无形资产。</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（三）境外单位或者个人向境内单位或者个人出租完全在境外使用的有形动产。</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（四）财政部和国家税务总局规定的其他情形。</w:t>
      </w:r>
      <w:r>
        <w:rPr>
          <w:rFonts w:hint="eastAsia" w:ascii="仿宋_GB2312" w:hAnsi="仿宋_GB2312" w:eastAsia="仿宋_GB2312" w:cs="仿宋_GB2312"/>
          <w:i w:val="0"/>
          <w:iCs w:val="0"/>
          <w:caps w:val="0"/>
          <w:color w:val="auto"/>
          <w:spacing w:val="0"/>
          <w:sz w:val="32"/>
          <w:szCs w:val="32"/>
          <w:shd w:val="clear" w:fill="FFFFFF"/>
        </w:rPr>
        <w:br w:type="textWrapping"/>
      </w:r>
      <w:r>
        <w:rPr>
          <w:rStyle w:val="6"/>
          <w:rFonts w:hint="eastAsia" w:ascii="仿宋_GB2312" w:hAnsi="仿宋_GB2312" w:eastAsia="仿宋_GB2312" w:cs="仿宋_GB2312"/>
          <w:i w:val="0"/>
          <w:iCs w:val="0"/>
          <w:caps w:val="0"/>
          <w:color w:val="auto"/>
          <w:spacing w:val="0"/>
          <w:sz w:val="32"/>
          <w:szCs w:val="32"/>
          <w:shd w:val="clear" w:fill="FFFFFF"/>
        </w:rPr>
        <w:t>第十四条 </w:t>
      </w:r>
      <w:r>
        <w:rPr>
          <w:rFonts w:hint="eastAsia" w:ascii="仿宋_GB2312" w:hAnsi="仿宋_GB2312" w:eastAsia="仿宋_GB2312" w:cs="仿宋_GB2312"/>
          <w:i w:val="0"/>
          <w:iCs w:val="0"/>
          <w:caps w:val="0"/>
          <w:color w:val="auto"/>
          <w:spacing w:val="0"/>
          <w:sz w:val="32"/>
          <w:szCs w:val="32"/>
          <w:shd w:val="clear" w:fill="FFFFFF"/>
        </w:rPr>
        <w:t>下列情形视同销售服务、无形资产或者不动产：</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（一）单位或者个体工商户向其他单位或者个人无偿提供服务，但用于公益事业或者以社会公众为对象的除外。</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（二）单位或者个人向其他单位或者个人无偿转让无形资产或者不动产，但用于公益事业或者以社会公众为对象的除外。</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（三）财政部和国家税务总局规定的其他情形。</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jc w:val="center"/>
        <w:textAlignment w:val="auto"/>
        <w:rPr>
          <w:rStyle w:val="6"/>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br w:type="textWrapping"/>
      </w:r>
      <w:r>
        <w:rPr>
          <w:rStyle w:val="6"/>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Style w:val="6"/>
          <w:rFonts w:hint="eastAsia" w:ascii="仿宋_GB2312" w:hAnsi="仿宋_GB2312" w:eastAsia="仿宋_GB2312" w:cs="仿宋_GB2312"/>
          <w:i w:val="0"/>
          <w:iCs w:val="0"/>
          <w:caps w:val="0"/>
          <w:color w:val="auto"/>
          <w:spacing w:val="0"/>
          <w:sz w:val="32"/>
          <w:szCs w:val="32"/>
          <w:shd w:val="clear" w:fill="FFFFFF"/>
        </w:rPr>
        <w:t>第三章 税率和征收率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第十五条 </w:t>
      </w:r>
      <w:r>
        <w:rPr>
          <w:rFonts w:hint="eastAsia" w:ascii="仿宋_GB2312" w:hAnsi="仿宋_GB2312" w:eastAsia="仿宋_GB2312" w:cs="仿宋_GB2312"/>
          <w:i w:val="0"/>
          <w:iCs w:val="0"/>
          <w:caps w:val="0"/>
          <w:color w:val="auto"/>
          <w:spacing w:val="0"/>
          <w:sz w:val="32"/>
          <w:szCs w:val="32"/>
          <w:shd w:val="clear" w:fill="FFFFFF"/>
        </w:rPr>
        <w:t>增值税税率：</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纳税人发生应税行为，除本条第（二）项、第（三）项、第（四）项规定外，税率为6％。</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提供交通运输、邮政、基础电信、建筑、不动产租赁服务，销售不动产，转让土地使用权，税率为11%。</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提供有形动产租赁服务，税率为17%。</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Style w:val="6"/>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（四）境内单位和个人发生的跨境应税行为，税率为零。具体范围由财政部和国家税务总局另行规定。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rPr>
      </w:pPr>
      <w:r>
        <w:rPr>
          <w:rStyle w:val="6"/>
          <w:rFonts w:hint="eastAsia" w:ascii="仿宋_GB2312" w:hAnsi="仿宋_GB2312" w:eastAsia="仿宋_GB2312" w:cs="仿宋_GB2312"/>
          <w:i w:val="0"/>
          <w:iCs w:val="0"/>
          <w:caps w:val="0"/>
          <w:color w:val="auto"/>
          <w:spacing w:val="0"/>
          <w:sz w:val="32"/>
          <w:szCs w:val="32"/>
          <w:shd w:val="clear" w:fill="FFFFFF"/>
        </w:rPr>
        <w:t>第十六条 </w:t>
      </w:r>
      <w:r>
        <w:rPr>
          <w:rFonts w:hint="eastAsia" w:ascii="仿宋_GB2312" w:hAnsi="仿宋_GB2312" w:eastAsia="仿宋_GB2312" w:cs="仿宋_GB2312"/>
          <w:i w:val="0"/>
          <w:iCs w:val="0"/>
          <w:caps w:val="0"/>
          <w:color w:val="auto"/>
          <w:spacing w:val="0"/>
          <w:sz w:val="32"/>
          <w:szCs w:val="32"/>
          <w:shd w:val="clear" w:fill="FFFFFF"/>
        </w:rPr>
        <w:t>增值税征收率为3%，财政部和国家税务总局另有规定的除外。</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Style w:val="6"/>
          <w:rFonts w:hint="eastAsia" w:ascii="仿宋_GB2312" w:hAnsi="仿宋_GB2312" w:eastAsia="仿宋_GB2312" w:cs="仿宋_GB2312"/>
          <w:i w:val="0"/>
          <w:iCs w:val="0"/>
          <w:caps w:val="0"/>
          <w:color w:val="auto"/>
          <w:spacing w:val="0"/>
          <w:sz w:val="32"/>
          <w:szCs w:val="32"/>
          <w:shd w:val="clear" w:fill="FFFFFF"/>
        </w:rPr>
        <w:t>第四章 应纳税额的计算</w:t>
      </w:r>
      <w:r>
        <w:rPr>
          <w:rFonts w:hint="eastAsia" w:ascii="仿宋_GB2312" w:hAnsi="仿宋_GB2312" w:eastAsia="仿宋_GB2312" w:cs="仿宋_GB2312"/>
          <w:i w:val="0"/>
          <w:iCs w:val="0"/>
          <w:caps w:val="0"/>
          <w:color w:val="auto"/>
          <w:spacing w:val="0"/>
          <w:sz w:val="32"/>
          <w:szCs w:val="32"/>
          <w:shd w:val="clear" w:fill="FFFFFF"/>
        </w:rPr>
        <w:t> </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0" w:right="0" w:rightChars="0" w:firstLine="642" w:firstLineChars="200"/>
        <w:jc w:val="left"/>
        <w:textAlignment w:val="auto"/>
        <w:rPr>
          <w:rFonts w:hint="eastAsia" w:ascii="仿宋_GB2312" w:hAnsi="仿宋_GB2312" w:eastAsia="仿宋_GB2312" w:cs="仿宋_GB2312"/>
          <w:b/>
          <w:bCs w:val="0"/>
          <w:i w:val="0"/>
          <w:iCs w:val="0"/>
          <w:caps w:val="0"/>
          <w:color w:val="auto"/>
          <w:spacing w:val="0"/>
          <w:sz w:val="32"/>
          <w:szCs w:val="32"/>
          <w:shd w:val="clear" w:fill="FFFFFF"/>
        </w:rPr>
      </w:pPr>
      <w:r>
        <w:rPr>
          <w:rStyle w:val="6"/>
          <w:rFonts w:hint="eastAsia" w:ascii="仿宋_GB2312" w:hAnsi="仿宋_GB2312" w:eastAsia="仿宋_GB2312" w:cs="仿宋_GB2312"/>
          <w:b/>
          <w:bCs w:val="0"/>
          <w:i w:val="0"/>
          <w:iCs w:val="0"/>
          <w:caps w:val="0"/>
          <w:color w:val="auto"/>
          <w:spacing w:val="0"/>
          <w:sz w:val="32"/>
          <w:szCs w:val="32"/>
          <w:shd w:val="clear" w:fill="FFFFFF"/>
          <w:lang w:eastAsia="zh-CN"/>
        </w:rPr>
        <w:t>第一节</w:t>
      </w:r>
      <w:r>
        <w:rPr>
          <w:rStyle w:val="6"/>
          <w:rFonts w:hint="eastAsia" w:ascii="仿宋_GB2312" w:hAnsi="仿宋_GB2312" w:eastAsia="仿宋_GB2312" w:cs="仿宋_GB2312"/>
          <w:b/>
          <w:bCs w:val="0"/>
          <w:i w:val="0"/>
          <w:iCs w:val="0"/>
          <w:caps w:val="0"/>
          <w:color w:val="auto"/>
          <w:spacing w:val="0"/>
          <w:sz w:val="32"/>
          <w:szCs w:val="32"/>
          <w:shd w:val="clear" w:fill="FFFFFF"/>
        </w:rPr>
        <w:t>一般性规定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第十七条 </w:t>
      </w:r>
      <w:r>
        <w:rPr>
          <w:rFonts w:hint="eastAsia" w:ascii="仿宋_GB2312" w:hAnsi="仿宋_GB2312" w:eastAsia="仿宋_GB2312" w:cs="仿宋_GB2312"/>
          <w:i w:val="0"/>
          <w:iCs w:val="0"/>
          <w:caps w:val="0"/>
          <w:color w:val="auto"/>
          <w:spacing w:val="0"/>
          <w:sz w:val="32"/>
          <w:szCs w:val="32"/>
          <w:shd w:val="clear" w:fill="FFFFFF"/>
        </w:rPr>
        <w:t>增值税的计税方法，包括一般计税方法和简易计税方法。</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第十八条 </w:t>
      </w:r>
      <w:r>
        <w:rPr>
          <w:rFonts w:hint="eastAsia" w:ascii="仿宋_GB2312" w:hAnsi="仿宋_GB2312" w:eastAsia="仿宋_GB2312" w:cs="仿宋_GB2312"/>
          <w:i w:val="0"/>
          <w:iCs w:val="0"/>
          <w:caps w:val="0"/>
          <w:color w:val="auto"/>
          <w:spacing w:val="0"/>
          <w:sz w:val="32"/>
          <w:szCs w:val="32"/>
          <w:shd w:val="clear" w:fill="FFFFFF"/>
        </w:rPr>
        <w:t>一般纳税人发生应税行为适用一般计税方法计税。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一般纳税人发生财政部和国家税务总局规定的特定应税行为，可以选择适用简易计税方法计税，但一经选择，36个月内不得变更。</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第十九条 </w:t>
      </w:r>
      <w:r>
        <w:rPr>
          <w:rFonts w:hint="eastAsia" w:ascii="仿宋_GB2312" w:hAnsi="仿宋_GB2312" w:eastAsia="仿宋_GB2312" w:cs="仿宋_GB2312"/>
          <w:i w:val="0"/>
          <w:iCs w:val="0"/>
          <w:caps w:val="0"/>
          <w:color w:val="auto"/>
          <w:spacing w:val="0"/>
          <w:sz w:val="32"/>
          <w:szCs w:val="32"/>
          <w:shd w:val="clear" w:fill="FFFFFF"/>
        </w:rPr>
        <w:t>小规模纳税人发生应税行为适用简易计税方法计税。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b w:val="0"/>
          <w:bCs/>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第二十条 </w:t>
      </w:r>
      <w:r>
        <w:rPr>
          <w:rFonts w:hint="eastAsia" w:ascii="仿宋_GB2312" w:hAnsi="仿宋_GB2312" w:eastAsia="仿宋_GB2312" w:cs="仿宋_GB2312"/>
          <w:i w:val="0"/>
          <w:iCs w:val="0"/>
          <w:caps w:val="0"/>
          <w:color w:val="auto"/>
          <w:spacing w:val="0"/>
          <w:sz w:val="32"/>
          <w:szCs w:val="32"/>
          <w:shd w:val="clear" w:fill="FFFFFF"/>
        </w:rPr>
        <w:t>境外单位或者个人在境内发生应税行为，在境内未设有经营机构的，扣缴义务人按照下列公式计算应扣缴税额：</w:t>
      </w:r>
      <w:r>
        <w:rPr>
          <w:rStyle w:val="6"/>
          <w:rFonts w:hint="eastAsia" w:ascii="仿宋_GB2312" w:hAnsi="仿宋_GB2312" w:eastAsia="仿宋_GB2312" w:cs="仿宋_GB2312"/>
          <w:b w:val="0"/>
          <w:bCs/>
          <w:i w:val="0"/>
          <w:iCs w:val="0"/>
          <w:caps w:val="0"/>
          <w:color w:val="auto"/>
          <w:spacing w:val="0"/>
          <w:sz w:val="32"/>
          <w:szCs w:val="32"/>
          <w:shd w:val="clear" w:fill="FFFFFF"/>
        </w:rPr>
        <w:t>应扣缴税额=购买方支付的价款÷（1+税率）×税率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第二节 一般计税方法</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b w:val="0"/>
          <w:bCs/>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第二十一条 </w:t>
      </w:r>
      <w:r>
        <w:rPr>
          <w:rFonts w:hint="eastAsia" w:ascii="仿宋_GB2312" w:hAnsi="仿宋_GB2312" w:eastAsia="仿宋_GB2312" w:cs="仿宋_GB2312"/>
          <w:i w:val="0"/>
          <w:iCs w:val="0"/>
          <w:caps w:val="0"/>
          <w:color w:val="auto"/>
          <w:spacing w:val="0"/>
          <w:sz w:val="32"/>
          <w:szCs w:val="32"/>
          <w:shd w:val="clear" w:fill="FFFFFF"/>
        </w:rPr>
        <w:t>一般计税方法的应纳税额，是指当期销项税额抵扣当期进项税额后的余额。应纳税额计算公式：</w:t>
      </w:r>
      <w:r>
        <w:rPr>
          <w:rStyle w:val="6"/>
          <w:rFonts w:hint="eastAsia" w:ascii="仿宋_GB2312" w:hAnsi="仿宋_GB2312" w:eastAsia="仿宋_GB2312" w:cs="仿宋_GB2312"/>
          <w:b w:val="0"/>
          <w:bCs/>
          <w:i w:val="0"/>
          <w:iCs w:val="0"/>
          <w:caps w:val="0"/>
          <w:color w:val="auto"/>
          <w:spacing w:val="0"/>
          <w:sz w:val="32"/>
          <w:szCs w:val="32"/>
          <w:shd w:val="clear" w:fill="FFFFFF"/>
        </w:rPr>
        <w:t>应纳税额=当期销项税额－当期进项税额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当期销项税额小于当期进项税额不足抵扣时，其不足部分可以结转下期继续抵扣。</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b w:val="0"/>
          <w:bCs/>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第二十二条 </w:t>
      </w:r>
      <w:r>
        <w:rPr>
          <w:rFonts w:hint="eastAsia" w:ascii="仿宋_GB2312" w:hAnsi="仿宋_GB2312" w:eastAsia="仿宋_GB2312" w:cs="仿宋_GB2312"/>
          <w:i w:val="0"/>
          <w:iCs w:val="0"/>
          <w:caps w:val="0"/>
          <w:color w:val="auto"/>
          <w:spacing w:val="0"/>
          <w:sz w:val="32"/>
          <w:szCs w:val="32"/>
          <w:shd w:val="clear" w:fill="FFFFFF"/>
        </w:rPr>
        <w:t>销项税额，是指纳税人发生应税行为按照销售额和增值税税率计算并收取的增值税额。销项税额计算公式：</w:t>
      </w:r>
      <w:r>
        <w:rPr>
          <w:rStyle w:val="6"/>
          <w:rFonts w:hint="eastAsia" w:ascii="仿宋_GB2312" w:hAnsi="仿宋_GB2312" w:eastAsia="仿宋_GB2312" w:cs="仿宋_GB2312"/>
          <w:b w:val="0"/>
          <w:bCs/>
          <w:i w:val="0"/>
          <w:iCs w:val="0"/>
          <w:caps w:val="0"/>
          <w:color w:val="auto"/>
          <w:spacing w:val="0"/>
          <w:sz w:val="32"/>
          <w:szCs w:val="32"/>
          <w:shd w:val="clear" w:fill="FFFFFF"/>
        </w:rPr>
        <w:t>销项税额=销售额×税率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b w:val="0"/>
          <w:bCs/>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第二十三条 </w:t>
      </w:r>
      <w:r>
        <w:rPr>
          <w:rFonts w:hint="eastAsia" w:ascii="仿宋_GB2312" w:hAnsi="仿宋_GB2312" w:eastAsia="仿宋_GB2312" w:cs="仿宋_GB2312"/>
          <w:i w:val="0"/>
          <w:iCs w:val="0"/>
          <w:caps w:val="0"/>
          <w:color w:val="auto"/>
          <w:spacing w:val="0"/>
          <w:sz w:val="32"/>
          <w:szCs w:val="32"/>
          <w:shd w:val="clear" w:fill="FFFFFF"/>
        </w:rPr>
        <w:t>一般计税方法的销售额不包括销项税额，纳税人采用销售额和销项税额合并定价方法的，按照下列公式计算销售额：</w:t>
      </w:r>
      <w:r>
        <w:rPr>
          <w:rStyle w:val="6"/>
          <w:rFonts w:hint="eastAsia" w:ascii="仿宋_GB2312" w:hAnsi="仿宋_GB2312" w:eastAsia="仿宋_GB2312" w:cs="仿宋_GB2312"/>
          <w:b w:val="0"/>
          <w:bCs/>
          <w:i w:val="0"/>
          <w:iCs w:val="0"/>
          <w:caps w:val="0"/>
          <w:color w:val="auto"/>
          <w:spacing w:val="0"/>
          <w:sz w:val="32"/>
          <w:szCs w:val="32"/>
          <w:shd w:val="clear" w:fill="FFFFFF"/>
        </w:rPr>
        <w:t>销售额＝含税销售额÷（1+税率）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第二十四条 进项税额，是指纳税人购进货物、加工修理修配劳务、服务、无形资产或者不动产，支付或者负担的增值税额。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第二十五条 </w:t>
      </w:r>
      <w:r>
        <w:rPr>
          <w:rFonts w:hint="eastAsia" w:ascii="仿宋_GB2312" w:hAnsi="仿宋_GB2312" w:eastAsia="仿宋_GB2312" w:cs="仿宋_GB2312"/>
          <w:i w:val="0"/>
          <w:iCs w:val="0"/>
          <w:caps w:val="0"/>
          <w:color w:val="auto"/>
          <w:spacing w:val="0"/>
          <w:sz w:val="32"/>
          <w:szCs w:val="32"/>
          <w:shd w:val="clear" w:fill="FFFFFF"/>
        </w:rPr>
        <w:t>下列进项税额准予从销项税额中抵扣：</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从销售方取得的增值税专用发票（含税控机动车销售统一发票，下同）上注明的增值税额。</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从海关取得的海关进口增值税专用缴款书上注明的增值税额。</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购进农产品，除取得增值税专用发票或者海关进口增值税专用缴款书外，按照农产品收购发票或者销售发票上注明的农产品买价和13%的扣除率计算的进项税额。计算公式为：进项税额=买价×扣除率</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买价，是指纳税人购进农产品在农产品收购发票或者销售发票上注明的价款和按照规定缴纳的烟叶税。</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购进农产品，按照《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"https://www.waizi.org.cn/law/9778.html" \o "《农产品增值税进项税额核定扣除试点实施办法》全文" \t "https://www.waizi.org.cn/shuishounews/_blank"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农产品增值税进项税额核定扣除试点实施办法</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》抵扣进项税额的除外。</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从境外单位或者个人购进服务、无形资产或者不动产，自税务机关或者扣缴义务人取得的解缴税款的完税凭证上注明的增值税额。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第二十六条 </w:t>
      </w:r>
      <w:r>
        <w:rPr>
          <w:rFonts w:hint="eastAsia" w:ascii="仿宋_GB2312" w:hAnsi="仿宋_GB2312" w:eastAsia="仿宋_GB2312" w:cs="仿宋_GB2312"/>
          <w:i w:val="0"/>
          <w:iCs w:val="0"/>
          <w:caps w:val="0"/>
          <w:color w:val="auto"/>
          <w:spacing w:val="0"/>
          <w:sz w:val="32"/>
          <w:szCs w:val="32"/>
          <w:shd w:val="clear" w:fill="FFFFFF"/>
        </w:rPr>
        <w:t>纳税人取得的增值税扣税凭证不符合法律、行政法规或者国家税务总局有关规定的，其进项税额不得从销项税额中抵扣。</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增值税扣税凭证，是指增值税专用发票、海关进口增值税专用缴款书、农产品收购发票、农产品销售发票和完税凭证。</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纳税人凭完税凭证抵扣进项税额的，应当具备书面合同、付款证明和境外单位的对账单或者发票。资料不全的，其进项税额不得从销项税额中抵扣。</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第二十七条 </w:t>
      </w:r>
      <w:r>
        <w:rPr>
          <w:rFonts w:hint="eastAsia" w:ascii="仿宋_GB2312" w:hAnsi="仿宋_GB2312" w:eastAsia="仿宋_GB2312" w:cs="仿宋_GB2312"/>
          <w:i w:val="0"/>
          <w:iCs w:val="0"/>
          <w:caps w:val="0"/>
          <w:color w:val="auto"/>
          <w:spacing w:val="0"/>
          <w:sz w:val="32"/>
          <w:szCs w:val="32"/>
          <w:shd w:val="clear" w:fill="FFFFFF"/>
        </w:rPr>
        <w:t>下列项目的进项税额不得从销项税额中抵扣：</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用于简易计税方法计税项目、免征增值税项目、集体福利或者个人消费的购进货物、加工修理修配劳务、服务、无形资产和不动产。其中涉及的固定资产、无形资产、不动产，仅指专用于上述项目的固定资产、无形资产（不包括其他权益性无形资产）、不动产。纳税人的交际应酬消费属于个人消费。</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非正常损失的购进货物，以及相关的加工修理修配劳务和交通运输服务。</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非正常损失的在产品、产成品所耗用的购进货物（不包括固定资产）、加工修理修配劳务和交通运输服务。</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非正常损失的不动产，以及该不动产所耗用的购进货物、设计服务和建筑服务。</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非正常损失的不动产在建工程所耗用的购进货物、设计服务和建筑服务。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纳税人新建、改建、扩建、修缮、装饰不动产，均属于不动产在建工程。</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购进的旅客运输服务、贷款服务、餐饮服务、居民日常服务和娱乐服务。</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财政部和国家税务总局规定的其他情形。</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本条第（四）项、第（五）项所称货物，是指构成不动产实体的材料和设备，包括建筑装饰材料和给排水、采暖、卫生、通风、照明、通讯、煤气、消防、中央空调、电梯、电气、智能化楼宇设备及配套设施。</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第二十八条 </w:t>
      </w:r>
      <w:r>
        <w:rPr>
          <w:rFonts w:hint="eastAsia" w:ascii="仿宋_GB2312" w:hAnsi="仿宋_GB2312" w:eastAsia="仿宋_GB2312" w:cs="仿宋_GB2312"/>
          <w:i w:val="0"/>
          <w:iCs w:val="0"/>
          <w:caps w:val="0"/>
          <w:color w:val="auto"/>
          <w:spacing w:val="0"/>
          <w:sz w:val="32"/>
          <w:szCs w:val="32"/>
          <w:shd w:val="clear" w:fill="FFFFFF"/>
        </w:rPr>
        <w:t>不动产、无形资产的具体范围，按照本办法所附的《销售服务、无形资产或者不动产注释》执行。</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固定资产，是指使用期限超过12个月的机器、机械、运输工具以及其他与生产经营有关的设备、工具、器具等有形动产。</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非正常损失，是指因管理不善造成货物被盗、丢失、霉烂变质，以及因违反法律法规造成货物或者不动产被依法没收、销毁、拆除的情形。</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第二十九条 </w:t>
      </w:r>
      <w:r>
        <w:rPr>
          <w:rFonts w:hint="eastAsia" w:ascii="仿宋_GB2312" w:hAnsi="仿宋_GB2312" w:eastAsia="仿宋_GB2312" w:cs="仿宋_GB2312"/>
          <w:i w:val="0"/>
          <w:iCs w:val="0"/>
          <w:caps w:val="0"/>
          <w:color w:val="auto"/>
          <w:spacing w:val="0"/>
          <w:sz w:val="32"/>
          <w:szCs w:val="32"/>
          <w:shd w:val="clear" w:fill="FFFFFF"/>
        </w:rPr>
        <w:t>适用一般计税方法的纳税人,兼营简易计税方法计税项目、免征增值税项目而无法划分不得抵扣的进项税额，按照下列公式计算不得抵扣的进项税额：不得抵扣的进项税额＝当期无法划分的全部进项税额×（当期简易计税方法计税项目销售额+免征增值税项目销售额）÷当期全部销售额</w:t>
      </w:r>
      <w:r>
        <w:rPr>
          <w:rFonts w:hint="eastAsia" w:ascii="仿宋_GB2312" w:hAnsi="仿宋_GB2312" w:eastAsia="仿宋_GB2312" w:cs="仿宋_GB2312"/>
          <w:i w:val="0"/>
          <w:iCs w:val="0"/>
          <w:caps w:val="0"/>
          <w:color w:val="auto"/>
          <w:spacing w:val="0"/>
          <w:sz w:val="32"/>
          <w:szCs w:val="32"/>
          <w:shd w:val="clear" w:fill="FFFFFF"/>
          <w:lang w:eastAsia="zh-CN"/>
        </w:rPr>
        <w:t>。</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主管税务机关可以按照上述公式依据年度数据对不得抵扣的进项税额进行清算。</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第三十条 </w:t>
      </w:r>
      <w:r>
        <w:rPr>
          <w:rFonts w:hint="eastAsia" w:ascii="仿宋_GB2312" w:hAnsi="仿宋_GB2312" w:eastAsia="仿宋_GB2312" w:cs="仿宋_GB2312"/>
          <w:i w:val="0"/>
          <w:iCs w:val="0"/>
          <w:caps w:val="0"/>
          <w:color w:val="auto"/>
          <w:spacing w:val="0"/>
          <w:sz w:val="32"/>
          <w:szCs w:val="32"/>
          <w:shd w:val="clear" w:fill="FFFFFF"/>
        </w:rPr>
        <w:t>已抵扣进项税额的购进货物（不含固定资产）、劳务、服务，发生本办法第二十七条规定情形（简易计税方法计税项目、免征增值税项目除外）的，应当将该进项税额从当期进项税额中扣减；无法确定该进项税额的，按照当期实际成本计算应扣减的进项税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第三十一条 </w:t>
      </w:r>
      <w:r>
        <w:rPr>
          <w:rFonts w:hint="eastAsia" w:ascii="仿宋_GB2312" w:hAnsi="仿宋_GB2312" w:eastAsia="仿宋_GB2312" w:cs="仿宋_GB2312"/>
          <w:i w:val="0"/>
          <w:iCs w:val="0"/>
          <w:caps w:val="0"/>
          <w:color w:val="auto"/>
          <w:spacing w:val="0"/>
          <w:sz w:val="32"/>
          <w:szCs w:val="32"/>
          <w:shd w:val="clear" w:fill="FFFFFF"/>
        </w:rPr>
        <w:t>已抵扣进项税额的固定资产、无形资产或者不动产，发生本办法第二十七条规定情形的，按照下列公式计算不得抵扣的进项税额</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不得抵扣的进项税额=固定资产、无形资产或者不动产净值×适用税率</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固定资产、无形资产或者不动产净值，是指纳税人根据财务会计制度计提折旧或摊销后的余额。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第三十二条 </w:t>
      </w:r>
      <w:r>
        <w:rPr>
          <w:rFonts w:hint="eastAsia" w:ascii="仿宋_GB2312" w:hAnsi="仿宋_GB2312" w:eastAsia="仿宋_GB2312" w:cs="仿宋_GB2312"/>
          <w:i w:val="0"/>
          <w:iCs w:val="0"/>
          <w:caps w:val="0"/>
          <w:color w:val="auto"/>
          <w:spacing w:val="0"/>
          <w:sz w:val="32"/>
          <w:szCs w:val="32"/>
          <w:shd w:val="clear" w:fill="FFFFFF"/>
        </w:rPr>
        <w:t>纳税人适用一般计税方法计税的，因销售折让、中止或者退回而退还给购买方的增值税额，应当从当期的销项税额中扣减；因销售折让、中止或者退回而收回的增值税额，应当从当期的进项税额中扣减。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第三十三条 </w:t>
      </w:r>
      <w:r>
        <w:rPr>
          <w:rFonts w:hint="eastAsia" w:ascii="仿宋_GB2312" w:hAnsi="仿宋_GB2312" w:eastAsia="仿宋_GB2312" w:cs="仿宋_GB2312"/>
          <w:i w:val="0"/>
          <w:iCs w:val="0"/>
          <w:caps w:val="0"/>
          <w:color w:val="auto"/>
          <w:spacing w:val="0"/>
          <w:sz w:val="32"/>
          <w:szCs w:val="32"/>
          <w:shd w:val="clear" w:fill="FFFFFF"/>
        </w:rPr>
        <w:t>有下列情形之一者，应当按照销售额和增值税税率计算应纳税额，不得抵扣进项税额，也不得使用增值税专用发票：</w:t>
      </w:r>
    </w:p>
    <w:p>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一般纳税人会计核算不健全，或者不能够提供准确税务资料的。</w:t>
      </w:r>
    </w:p>
    <w:p>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应当办理一般纳税人资格登记而未办理的。</w:t>
      </w:r>
    </w:p>
    <w:p>
      <w:pPr>
        <w:pStyle w:val="3"/>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b/>
          <w:bCs w:val="0"/>
          <w:i w:val="0"/>
          <w:iCs w:val="0"/>
          <w:caps w:val="0"/>
          <w:color w:val="auto"/>
          <w:spacing w:val="0"/>
          <w:sz w:val="32"/>
          <w:szCs w:val="32"/>
          <w:shd w:val="clear" w:fill="FFFFFF"/>
        </w:rPr>
      </w:pPr>
      <w:r>
        <w:rPr>
          <w:rStyle w:val="6"/>
          <w:rFonts w:hint="eastAsia" w:ascii="仿宋_GB2312" w:hAnsi="仿宋_GB2312" w:eastAsia="仿宋_GB2312" w:cs="仿宋_GB2312"/>
          <w:b/>
          <w:bCs w:val="0"/>
          <w:i w:val="0"/>
          <w:iCs w:val="0"/>
          <w:caps w:val="0"/>
          <w:color w:val="auto"/>
          <w:spacing w:val="0"/>
          <w:sz w:val="32"/>
          <w:szCs w:val="32"/>
          <w:shd w:val="clear" w:fill="FFFFFF"/>
        </w:rPr>
        <w:t>简易计税方法</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b w:val="0"/>
          <w:bCs/>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第三十四条 </w:t>
      </w:r>
      <w:r>
        <w:rPr>
          <w:rFonts w:hint="eastAsia" w:ascii="仿宋_GB2312" w:hAnsi="仿宋_GB2312" w:eastAsia="仿宋_GB2312" w:cs="仿宋_GB2312"/>
          <w:i w:val="0"/>
          <w:iCs w:val="0"/>
          <w:caps w:val="0"/>
          <w:color w:val="auto"/>
          <w:spacing w:val="0"/>
          <w:sz w:val="32"/>
          <w:szCs w:val="32"/>
          <w:shd w:val="clear" w:fill="FFFFFF"/>
        </w:rPr>
        <w:t>简易计税方法的应纳税额，是指按照销售额和增值税征收率计算的增值税额，不得抵扣进项税额。应纳税额计算公式：</w:t>
      </w:r>
      <w:r>
        <w:rPr>
          <w:rStyle w:val="6"/>
          <w:rFonts w:hint="eastAsia" w:ascii="仿宋_GB2312" w:hAnsi="仿宋_GB2312" w:eastAsia="仿宋_GB2312" w:cs="仿宋_GB2312"/>
          <w:b w:val="0"/>
          <w:bCs/>
          <w:i w:val="0"/>
          <w:iCs w:val="0"/>
          <w:caps w:val="0"/>
          <w:color w:val="auto"/>
          <w:spacing w:val="0"/>
          <w:sz w:val="32"/>
          <w:szCs w:val="32"/>
          <w:shd w:val="clear" w:fill="FFFFFF"/>
        </w:rPr>
        <w:t>应纳税额=销售额×征收率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第三十五条 </w:t>
      </w:r>
      <w:r>
        <w:rPr>
          <w:rFonts w:hint="eastAsia" w:ascii="仿宋_GB2312" w:hAnsi="仿宋_GB2312" w:eastAsia="仿宋_GB2312" w:cs="仿宋_GB2312"/>
          <w:i w:val="0"/>
          <w:iCs w:val="0"/>
          <w:caps w:val="0"/>
          <w:color w:val="auto"/>
          <w:spacing w:val="0"/>
          <w:sz w:val="32"/>
          <w:szCs w:val="32"/>
          <w:shd w:val="clear" w:fill="FFFFFF"/>
        </w:rPr>
        <w:t>简易计税方法的销售额不包括其应纳税额，纳税人采用销售额和应纳税额合并定价方法的，按照下列公式计算销售额：</w:t>
      </w:r>
      <w:r>
        <w:rPr>
          <w:rStyle w:val="6"/>
          <w:rFonts w:hint="eastAsia" w:ascii="仿宋_GB2312" w:hAnsi="仿宋_GB2312" w:eastAsia="仿宋_GB2312" w:cs="仿宋_GB2312"/>
          <w:b w:val="0"/>
          <w:bCs/>
          <w:i w:val="0"/>
          <w:iCs w:val="0"/>
          <w:caps w:val="0"/>
          <w:color w:val="auto"/>
          <w:spacing w:val="0"/>
          <w:sz w:val="32"/>
          <w:szCs w:val="32"/>
          <w:shd w:val="clear" w:fill="FFFFFF"/>
        </w:rPr>
        <w:t>销售额＝含税销售额÷（1＋征收率）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rPr>
      </w:pPr>
      <w:r>
        <w:rPr>
          <w:rStyle w:val="6"/>
          <w:rFonts w:hint="eastAsia" w:ascii="仿宋_GB2312" w:hAnsi="仿宋_GB2312" w:eastAsia="仿宋_GB2312" w:cs="仿宋_GB2312"/>
          <w:i w:val="0"/>
          <w:iCs w:val="0"/>
          <w:caps w:val="0"/>
          <w:color w:val="auto"/>
          <w:spacing w:val="0"/>
          <w:sz w:val="32"/>
          <w:szCs w:val="32"/>
          <w:shd w:val="clear" w:fill="FFFFFF"/>
        </w:rPr>
        <w:t>第三十六条 </w:t>
      </w:r>
      <w:r>
        <w:rPr>
          <w:rFonts w:hint="eastAsia" w:ascii="仿宋_GB2312" w:hAnsi="仿宋_GB2312" w:eastAsia="仿宋_GB2312" w:cs="仿宋_GB2312"/>
          <w:i w:val="0"/>
          <w:iCs w:val="0"/>
          <w:caps w:val="0"/>
          <w:color w:val="auto"/>
          <w:spacing w:val="0"/>
          <w:sz w:val="32"/>
          <w:szCs w:val="32"/>
          <w:shd w:val="clear" w:fill="FFFFFF"/>
        </w:rPr>
        <w:t>纳税人适用简易计税方法计税的，因销售折让、中止或者退回而退还给购买方的销售额，应当从当期销售额中扣减。扣减当期销售额后仍有余额造成多缴的税款，可以从以后的应纳税额中扣减。</w:t>
      </w:r>
    </w:p>
    <w:p>
      <w:pPr>
        <w:pStyle w:val="3"/>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2" w:firstLineChars="200"/>
        <w:jc w:val="left"/>
        <w:textAlignment w:val="auto"/>
        <w:rPr>
          <w:rFonts w:hint="eastAsia" w:ascii="仿宋_GB2312" w:hAnsi="仿宋_GB2312" w:eastAsia="仿宋_GB2312" w:cs="仿宋_GB2312"/>
          <w:b/>
          <w:bCs w:val="0"/>
          <w:i w:val="0"/>
          <w:iCs w:val="0"/>
          <w:caps w:val="0"/>
          <w:color w:val="auto"/>
          <w:spacing w:val="0"/>
          <w:sz w:val="32"/>
          <w:szCs w:val="32"/>
          <w:shd w:val="clear" w:fill="FFFFFF"/>
        </w:rPr>
      </w:pPr>
      <w:r>
        <w:rPr>
          <w:rStyle w:val="6"/>
          <w:rFonts w:hint="eastAsia" w:ascii="仿宋_GB2312" w:hAnsi="仿宋_GB2312" w:eastAsia="仿宋_GB2312" w:cs="仿宋_GB2312"/>
          <w:b/>
          <w:bCs w:val="0"/>
          <w:i w:val="0"/>
          <w:iCs w:val="0"/>
          <w:caps w:val="0"/>
          <w:color w:val="auto"/>
          <w:spacing w:val="0"/>
          <w:sz w:val="32"/>
          <w:szCs w:val="32"/>
          <w:shd w:val="clear" w:fill="FFFFFF"/>
        </w:rPr>
        <w:t>销售额的确定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第三十七条 </w:t>
      </w:r>
      <w:r>
        <w:rPr>
          <w:rFonts w:hint="eastAsia" w:ascii="仿宋_GB2312" w:hAnsi="仿宋_GB2312" w:eastAsia="仿宋_GB2312" w:cs="仿宋_GB2312"/>
          <w:i w:val="0"/>
          <w:iCs w:val="0"/>
          <w:caps w:val="0"/>
          <w:color w:val="auto"/>
          <w:spacing w:val="0"/>
          <w:sz w:val="32"/>
          <w:szCs w:val="32"/>
          <w:shd w:val="clear" w:fill="FFFFFF"/>
        </w:rPr>
        <w:t>销售额，是指纳税人发生应税行为取得的全部价款和价外费用，财政部和国家税务总局另有规定的除外。</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价外费用，是指价外收取的各种性质的收费，但不包括以下项目：</w:t>
      </w:r>
    </w:p>
    <w:p>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代为收取并符合本办法第十条规定的政府性基金或者行政事业性收费。</w:t>
      </w:r>
    </w:p>
    <w:p>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以委托方名义开具发票代委托方收取的款项。</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第三十八条 </w:t>
      </w:r>
      <w:r>
        <w:rPr>
          <w:rFonts w:hint="eastAsia" w:ascii="仿宋_GB2312" w:hAnsi="仿宋_GB2312" w:eastAsia="仿宋_GB2312" w:cs="仿宋_GB2312"/>
          <w:i w:val="0"/>
          <w:iCs w:val="0"/>
          <w:caps w:val="0"/>
          <w:color w:val="auto"/>
          <w:spacing w:val="0"/>
          <w:sz w:val="32"/>
          <w:szCs w:val="32"/>
          <w:shd w:val="clear" w:fill="FFFFFF"/>
        </w:rPr>
        <w:t>销售额以人民币计算。</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纳税人按照人民币以外的货币结算销售额的，应当折合成人民币计算，折合率可以选择销售额发生的当天或者当月1日的人民币汇率中间价。纳税人应当在事先确定采用何种折合率，确定后12个月内不得变更。</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第三十九条 </w:t>
      </w:r>
      <w:r>
        <w:rPr>
          <w:rFonts w:hint="eastAsia" w:ascii="仿宋_GB2312" w:hAnsi="仿宋_GB2312" w:eastAsia="仿宋_GB2312" w:cs="仿宋_GB2312"/>
          <w:i w:val="0"/>
          <w:iCs w:val="0"/>
          <w:caps w:val="0"/>
          <w:color w:val="auto"/>
          <w:spacing w:val="0"/>
          <w:sz w:val="32"/>
          <w:szCs w:val="32"/>
          <w:shd w:val="clear" w:fill="FFFFFF"/>
        </w:rPr>
        <w:t>纳税人兼营销售货物、劳务、服务、无形资产或者不动产，适用不同税率或者征收率的，应当分别核算适用不同税率或者征收率的销售额；未分别核算的，从高适用税率。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第四十条 </w:t>
      </w:r>
      <w:r>
        <w:rPr>
          <w:rFonts w:hint="eastAsia" w:ascii="仿宋_GB2312" w:hAnsi="仿宋_GB2312" w:eastAsia="仿宋_GB2312" w:cs="仿宋_GB2312"/>
          <w:i w:val="0"/>
          <w:iCs w:val="0"/>
          <w:caps w:val="0"/>
          <w:color w:val="auto"/>
          <w:spacing w:val="0"/>
          <w:sz w:val="32"/>
          <w:szCs w:val="32"/>
          <w:shd w:val="clear" w:fill="FFFFFF"/>
        </w:rPr>
        <w:t>一项销售行为如果既涉及服务又涉及货物，为混合销售。从事货物的生产、批发或者零售的单位和个体工商户的混合销售行为，按照销售货物缴纳增值税；其他单位和个体工商户的混合销售行为，按照销售服务缴纳增值税。</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本条所称从事货物的生产、批发或者零售的单位和个体工商户，包括以从事货物的生产、批发或者零售为主，并兼营销售服务的单位和个体工商户在内。</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第四十一条 </w:t>
      </w:r>
      <w:r>
        <w:rPr>
          <w:rFonts w:hint="eastAsia" w:ascii="仿宋_GB2312" w:hAnsi="仿宋_GB2312" w:eastAsia="仿宋_GB2312" w:cs="仿宋_GB2312"/>
          <w:i w:val="0"/>
          <w:iCs w:val="0"/>
          <w:caps w:val="0"/>
          <w:color w:val="auto"/>
          <w:spacing w:val="0"/>
          <w:sz w:val="32"/>
          <w:szCs w:val="32"/>
          <w:shd w:val="clear" w:fill="FFFFFF"/>
        </w:rPr>
        <w:t>纳税人兼营免税、减税项目的，应当分别核算免税、减税项目的销售额；未分别核算的，不得免税、减税。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第四十二条 </w:t>
      </w:r>
      <w:r>
        <w:rPr>
          <w:rFonts w:hint="eastAsia" w:ascii="仿宋_GB2312" w:hAnsi="仿宋_GB2312" w:eastAsia="仿宋_GB2312" w:cs="仿宋_GB2312"/>
          <w:i w:val="0"/>
          <w:iCs w:val="0"/>
          <w:caps w:val="0"/>
          <w:color w:val="auto"/>
          <w:spacing w:val="0"/>
          <w:sz w:val="32"/>
          <w:szCs w:val="32"/>
          <w:shd w:val="clear" w:fill="FFFFFF"/>
        </w:rPr>
        <w:t>纳税人发生应税行为，开具增值税专用发票后，发生开票有误或者销售折让、中止、退回等情形的，应当按照国家税务总局的规定开具红字增值税专用发票；未按照规定开具红字增值税专用发票的，不得按照本办法第三十二条和第三十六条的规定扣减销项税额或者销售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第四十三条 </w:t>
      </w:r>
      <w:r>
        <w:rPr>
          <w:rFonts w:hint="eastAsia" w:ascii="仿宋_GB2312" w:hAnsi="仿宋_GB2312" w:eastAsia="仿宋_GB2312" w:cs="仿宋_GB2312"/>
          <w:i w:val="0"/>
          <w:iCs w:val="0"/>
          <w:caps w:val="0"/>
          <w:color w:val="auto"/>
          <w:spacing w:val="0"/>
          <w:sz w:val="32"/>
          <w:szCs w:val="32"/>
          <w:shd w:val="clear" w:fill="FFFFFF"/>
        </w:rPr>
        <w:t>纳税人发生应税行为，将价款和折扣额在同一张发票上分别注明的，以折扣后的价款为销售额；未在同一张发票上分别注明的，以价款为销售额，不得扣减折扣额。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第四十四条 </w:t>
      </w:r>
      <w:r>
        <w:rPr>
          <w:rFonts w:hint="eastAsia" w:ascii="仿宋_GB2312" w:hAnsi="仿宋_GB2312" w:eastAsia="仿宋_GB2312" w:cs="仿宋_GB2312"/>
          <w:i w:val="0"/>
          <w:iCs w:val="0"/>
          <w:caps w:val="0"/>
          <w:color w:val="auto"/>
          <w:spacing w:val="0"/>
          <w:sz w:val="32"/>
          <w:szCs w:val="32"/>
          <w:shd w:val="clear" w:fill="FFFFFF"/>
        </w:rPr>
        <w:t>纳税人发生应税行为价格明显偏低或者偏高且不具有合理商业目的的，或者发生本办法第十四条所列行为而无销售额的，主管税务机关有权按照下列顺序确定销售额：</w:t>
      </w:r>
    </w:p>
    <w:p>
      <w:pPr>
        <w:pStyle w:val="3"/>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按照纳税人最近时期销售同类服务、无形资产或者不动产的平均价格确定。</w:t>
      </w:r>
    </w:p>
    <w:p>
      <w:pPr>
        <w:pStyle w:val="3"/>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按照其他纳税人最近时期销售同类服务、无形资产或者不动产的平均价格确定。</w:t>
      </w:r>
    </w:p>
    <w:p>
      <w:pPr>
        <w:pStyle w:val="3"/>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按照组成计税价格确定。组成计税价格的公式为：</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组成计税价格=成本×（1+成本利润率）</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成本利润率由国家税务总局确定。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不具有合理商业目的，是指以谋取税收利益为主要目的，通过人为安排，减少、免除、推迟缴纳增值税税款，或者增加退还增值税税款。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center"/>
        <w:textAlignment w:val="auto"/>
        <w:rPr>
          <w:rStyle w:val="6"/>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br w:type="textWrapping"/>
      </w:r>
      <w:r>
        <w:rPr>
          <w:rStyle w:val="6"/>
          <w:rFonts w:hint="eastAsia" w:ascii="仿宋_GB2312" w:hAnsi="仿宋_GB2312" w:eastAsia="仿宋_GB2312" w:cs="仿宋_GB2312"/>
          <w:i w:val="0"/>
          <w:iCs w:val="0"/>
          <w:caps w:val="0"/>
          <w:color w:val="auto"/>
          <w:spacing w:val="0"/>
          <w:sz w:val="32"/>
          <w:szCs w:val="32"/>
          <w:shd w:val="clear" w:fill="FFFFFF"/>
        </w:rPr>
        <w:t>第五章 纳税义务、扣缴义务发生时间和纳税地点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Style w:val="6"/>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第四十五条 </w:t>
      </w:r>
      <w:r>
        <w:rPr>
          <w:rFonts w:hint="eastAsia" w:ascii="仿宋_GB2312" w:hAnsi="仿宋_GB2312" w:eastAsia="仿宋_GB2312" w:cs="仿宋_GB2312"/>
          <w:i w:val="0"/>
          <w:iCs w:val="0"/>
          <w:caps w:val="0"/>
          <w:color w:val="auto"/>
          <w:spacing w:val="0"/>
          <w:sz w:val="32"/>
          <w:szCs w:val="32"/>
          <w:shd w:val="clear" w:fill="FFFFFF"/>
        </w:rPr>
        <w:t>增值税纳税义务、扣缴义务发生时间为：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（一）纳税人发生应税行为并收讫销售款项或者取得索取销售款项凭据的当天；先开具发票的，为开具发票的当天。</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收讫销售款项，是指纳税人销售服务、无形资产、不动产过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程中或者完成后收到款项。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取得索取销售款项凭据的当天，是指书面合同确定的付款日期；未签订书面合同或者书面合同未确定付款日期的，为服务、无形资产转让完成的当天或者不动产权属变更的当天。</w:t>
      </w:r>
    </w:p>
    <w:p>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纳税人提供建筑服务、租赁服务采取预收款方式的，其纳税义务发生时间为收到预收款的当天。</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纳税人从事金融商品转让的，为金融商品所有权转移的当天。</w:t>
      </w:r>
    </w:p>
    <w:p>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纳税人发生本办法第十四条规定情形的，其纳税义务发生时间为服务、无形资产转让完成的当天或者不动产权属变更的当天。</w:t>
      </w:r>
    </w:p>
    <w:p>
      <w:pPr>
        <w:pStyle w:val="3"/>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增值税扣缴义务发生时间为纳税人增值税纳税义务发生的当天。</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第四十六条 </w:t>
      </w:r>
      <w:r>
        <w:rPr>
          <w:rFonts w:hint="eastAsia" w:ascii="仿宋_GB2312" w:hAnsi="仿宋_GB2312" w:eastAsia="仿宋_GB2312" w:cs="仿宋_GB2312"/>
          <w:i w:val="0"/>
          <w:iCs w:val="0"/>
          <w:caps w:val="0"/>
          <w:color w:val="auto"/>
          <w:spacing w:val="0"/>
          <w:sz w:val="32"/>
          <w:szCs w:val="32"/>
          <w:shd w:val="clear" w:fill="FFFFFF"/>
        </w:rPr>
        <w:t>增值税纳税地点为：</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固定业户应当向其机构所在地或者居住地主管税务机关申报纳税。总机构和分支机构不在同一县（市）的，应当分别向各自所在地的主管税务机关申报纳税；经财政部和国家税务总局或者其授权的财政和税务机关批准，可以由总机构汇总向总机构所在地的主管税务机关申报纳税。</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非固定业户应当向应税行为发生地主管税务机关申报纳税；未申报纳税的，由其机构所在地或者居住地主管税务机关补征税款。</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其他个人提供建筑服务，销售或者租赁不动产，转让自然资源使用权，应向建筑服务发生地、不动产所在地、自然资源所在地主管税务机关申报纳税。</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扣缴义务人应当向其机构所在地或者居住地主管税务机关申报缴纳扣缴的税款。</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Style w:val="6"/>
          <w:rFonts w:hint="eastAsia" w:ascii="仿宋_GB2312" w:hAnsi="仿宋_GB2312" w:eastAsia="仿宋_GB2312" w:cs="仿宋_GB2312"/>
          <w:i w:val="0"/>
          <w:iCs w:val="0"/>
          <w:caps w:val="0"/>
          <w:color w:val="auto"/>
          <w:spacing w:val="0"/>
          <w:sz w:val="32"/>
          <w:szCs w:val="32"/>
          <w:shd w:val="clear" w:fill="FFFFFF"/>
        </w:rPr>
        <w:t>第四十七条 </w:t>
      </w:r>
      <w:r>
        <w:rPr>
          <w:rFonts w:hint="eastAsia" w:ascii="仿宋_GB2312" w:hAnsi="仿宋_GB2312" w:eastAsia="仿宋_GB2312" w:cs="仿宋_GB2312"/>
          <w:i w:val="0"/>
          <w:iCs w:val="0"/>
          <w:caps w:val="0"/>
          <w:color w:val="auto"/>
          <w:spacing w:val="0"/>
          <w:sz w:val="32"/>
          <w:szCs w:val="32"/>
          <w:shd w:val="clear" w:fill="FFFFFF"/>
        </w:rPr>
        <w:t>增值税的纳税期限分别为1日、3日、5日、10日、15日、1个月或者1个季度。纳税人的具体纳税期限，由主管税务机关根据纳税人应纳税额的大小分别核定。以1个季度为纳税期限的规定适用于小规模纳税人、银行、财务公司、信托投资公司、信用社，以及财政部和国家税务总局规定的其他纳税人。不能按照固定期限纳税的，可以按次纳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Style w:val="6"/>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纳税人以1个月或者1个季度为1个纳税期的，自期满之日起15日内申报纳税；以1日、3日、5日、10日或者15日为1个纳税期的，自期满之日起5日内预缴税款，于次月1日起15日内申报纳税并结清上月应纳税款。</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扣缴义务人解缴税款的期限，按照前两款规定执行。</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br w:type="textWrapping"/>
      </w:r>
      <w:r>
        <w:rPr>
          <w:rFonts w:hint="default" w:ascii="仿宋_GB2312" w:hAnsi="仿宋_GB2312" w:eastAsia="仿宋_GB2312" w:cs="仿宋_GB2312"/>
          <w:i w:val="0"/>
          <w:iCs w:val="0"/>
          <w:caps w:val="0"/>
          <w:color w:val="auto"/>
          <w:spacing w:val="0"/>
          <w:sz w:val="32"/>
          <w:szCs w:val="32"/>
          <w:shd w:val="clear" w:fill="FFFFFF"/>
          <w:lang w:val="en"/>
        </w:rPr>
        <w:t xml:space="preserve">              </w:t>
      </w:r>
      <w:r>
        <w:rPr>
          <w:rStyle w:val="6"/>
          <w:rFonts w:hint="eastAsia" w:ascii="仿宋_GB2312" w:hAnsi="仿宋_GB2312" w:eastAsia="仿宋_GB2312" w:cs="仿宋_GB2312"/>
          <w:i w:val="0"/>
          <w:iCs w:val="0"/>
          <w:caps w:val="0"/>
          <w:color w:val="auto"/>
          <w:spacing w:val="0"/>
          <w:sz w:val="32"/>
          <w:szCs w:val="32"/>
          <w:shd w:val="clear" w:fill="FFFFFF"/>
        </w:rPr>
        <w:t>第六章 税收减免的处理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第四十八条 </w:t>
      </w:r>
      <w:r>
        <w:rPr>
          <w:rFonts w:hint="eastAsia" w:ascii="仿宋_GB2312" w:hAnsi="仿宋_GB2312" w:eastAsia="仿宋_GB2312" w:cs="仿宋_GB2312"/>
          <w:i w:val="0"/>
          <w:iCs w:val="0"/>
          <w:caps w:val="0"/>
          <w:color w:val="auto"/>
          <w:spacing w:val="0"/>
          <w:sz w:val="32"/>
          <w:szCs w:val="32"/>
          <w:shd w:val="clear" w:fill="FFFFFF"/>
        </w:rPr>
        <w:t>纳税人发生应税行为适用免税、减税规定的，可以放弃免税、减税，依照本办法的规定缴纳增值税。放弃免税、减税后，36个月内不得再申请免税、减税。纳税人发生应税行为同时适用免税和零税率规定的，纳税人可以选择适用免税或者零税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第四十九条 </w:t>
      </w:r>
      <w:r>
        <w:rPr>
          <w:rFonts w:hint="eastAsia" w:ascii="仿宋_GB2312" w:hAnsi="仿宋_GB2312" w:eastAsia="仿宋_GB2312" w:cs="仿宋_GB2312"/>
          <w:i w:val="0"/>
          <w:iCs w:val="0"/>
          <w:caps w:val="0"/>
          <w:color w:val="auto"/>
          <w:spacing w:val="0"/>
          <w:sz w:val="32"/>
          <w:szCs w:val="32"/>
          <w:shd w:val="clear" w:fill="FFFFFF"/>
        </w:rPr>
        <w:t>个人发生应税行为的销售额未达到增值税起征点的，免征增值税；达到起征点的，全额计算缴纳增值税。增值税起征点不适用于登记为一般纳税人的个体工商户。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第五十条 </w:t>
      </w:r>
      <w:r>
        <w:rPr>
          <w:rFonts w:hint="eastAsia" w:ascii="仿宋_GB2312" w:hAnsi="仿宋_GB2312" w:eastAsia="仿宋_GB2312" w:cs="仿宋_GB2312"/>
          <w:i w:val="0"/>
          <w:iCs w:val="0"/>
          <w:caps w:val="0"/>
          <w:color w:val="auto"/>
          <w:spacing w:val="0"/>
          <w:sz w:val="32"/>
          <w:szCs w:val="32"/>
          <w:shd w:val="clear" w:fill="FFFFFF"/>
        </w:rPr>
        <w:t>增值税起征点幅度如下:</w:t>
      </w:r>
    </w:p>
    <w:p>
      <w:pPr>
        <w:pStyle w:val="3"/>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按期纳税的，为月销售额5000-20000元（含本数）。</w:t>
      </w:r>
    </w:p>
    <w:p>
      <w:pPr>
        <w:pStyle w:val="3"/>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按次纳税的，为每次（日）销售额300-500元（含本数）。</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起征点的调整由财政部和国家税务总局规定。省、自治区、直辖市财政厅（局）和国家税务局应当在规定的幅度内，根据实际情况确定本地区适用的起征点，并报财政部和国家税务总局备案。</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对增值税小规模纳税人中月销售额未达到2万元的企业或非企业性单位，免征增值税。2017年12月31日前，对月销售额2万元（含本数）至3万元的增值税小规模纳税人，免征增值税。</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 </w:t>
      </w:r>
      <w:r>
        <w:rPr>
          <w:rStyle w:val="6"/>
          <w:rFonts w:hint="eastAsia" w:ascii="仿宋_GB2312" w:hAnsi="仿宋_GB2312" w:eastAsia="仿宋_GB2312" w:cs="仿宋_GB2312"/>
          <w:i w:val="0"/>
          <w:iCs w:val="0"/>
          <w:caps w:val="0"/>
          <w:color w:val="auto"/>
          <w:spacing w:val="0"/>
          <w:sz w:val="32"/>
          <w:szCs w:val="32"/>
          <w:shd w:val="clear" w:fill="FFFFFF"/>
        </w:rPr>
        <w:br w:type="textWrapping"/>
      </w:r>
      <w:r>
        <w:rPr>
          <w:rStyle w:val="6"/>
          <w:rFonts w:hint="default" w:ascii="仿宋_GB2312" w:hAnsi="仿宋_GB2312" w:eastAsia="仿宋_GB2312" w:cs="仿宋_GB2312"/>
          <w:i w:val="0"/>
          <w:iCs w:val="0"/>
          <w:caps w:val="0"/>
          <w:color w:val="auto"/>
          <w:spacing w:val="0"/>
          <w:sz w:val="32"/>
          <w:szCs w:val="32"/>
          <w:shd w:val="clear" w:fill="FFFFFF"/>
          <w:lang w:val="en"/>
        </w:rPr>
        <w:t xml:space="preserve">                 </w:t>
      </w:r>
      <w:r>
        <w:rPr>
          <w:rStyle w:val="6"/>
          <w:rFonts w:hint="eastAsia" w:ascii="仿宋_GB2312" w:hAnsi="仿宋_GB2312" w:eastAsia="仿宋_GB2312" w:cs="仿宋_GB2312"/>
          <w:i w:val="0"/>
          <w:iCs w:val="0"/>
          <w:caps w:val="0"/>
          <w:color w:val="auto"/>
          <w:spacing w:val="0"/>
          <w:sz w:val="32"/>
          <w:szCs w:val="32"/>
          <w:shd w:val="clear" w:fill="FFFFFF"/>
        </w:rPr>
        <w:t>第七章  征收管理</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 </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第五十一条 </w:t>
      </w:r>
      <w:r>
        <w:rPr>
          <w:rFonts w:hint="eastAsia" w:ascii="仿宋_GB2312" w:hAnsi="仿宋_GB2312" w:eastAsia="仿宋_GB2312" w:cs="仿宋_GB2312"/>
          <w:i w:val="0"/>
          <w:iCs w:val="0"/>
          <w:caps w:val="0"/>
          <w:color w:val="auto"/>
          <w:spacing w:val="0"/>
          <w:sz w:val="32"/>
          <w:szCs w:val="32"/>
          <w:shd w:val="clear" w:fill="FFFFFF"/>
        </w:rPr>
        <w:t>营业税改征的增值税，由国家税务局负责征收。纳税人销售取得的不动产和其他个人出租不动产的增值税，国家税务局暂委托地方税务局代为征收。</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第五十二条 </w:t>
      </w:r>
      <w:r>
        <w:rPr>
          <w:rFonts w:hint="eastAsia" w:ascii="仿宋_GB2312" w:hAnsi="仿宋_GB2312" w:eastAsia="仿宋_GB2312" w:cs="仿宋_GB2312"/>
          <w:i w:val="0"/>
          <w:iCs w:val="0"/>
          <w:caps w:val="0"/>
          <w:color w:val="auto"/>
          <w:spacing w:val="0"/>
          <w:sz w:val="32"/>
          <w:szCs w:val="32"/>
          <w:shd w:val="clear" w:fill="FFFFFF"/>
        </w:rPr>
        <w:t>纳税人发生适用零税率的应税行为，应当按期向主管税务机关申报办理退（免）税，具体办法由财政部和国家税务总局制定。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第五十三条 </w:t>
      </w:r>
      <w:r>
        <w:rPr>
          <w:rFonts w:hint="eastAsia" w:ascii="仿宋_GB2312" w:hAnsi="仿宋_GB2312" w:eastAsia="仿宋_GB2312" w:cs="仿宋_GB2312"/>
          <w:i w:val="0"/>
          <w:iCs w:val="0"/>
          <w:caps w:val="0"/>
          <w:color w:val="auto"/>
          <w:spacing w:val="0"/>
          <w:sz w:val="32"/>
          <w:szCs w:val="32"/>
          <w:shd w:val="clear" w:fill="FFFFFF"/>
        </w:rPr>
        <w:t>纳税人发生应税行为，应当向索取增值税专用发票的购买方开具增值税专用发票，并在增值税专用发票上分别注明销售额和销项税额。</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属于下列情形之一的，不得开具增值税专用发票：</w:t>
      </w:r>
    </w:p>
    <w:p>
      <w:pPr>
        <w:pStyle w:val="3"/>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向消费者个人销售服务、无形资产或者不动产。</w:t>
      </w:r>
    </w:p>
    <w:p>
      <w:pPr>
        <w:pStyle w:val="3"/>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适用免征增值税规定的应税行为。</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第五十四条 </w:t>
      </w:r>
      <w:r>
        <w:rPr>
          <w:rFonts w:hint="eastAsia" w:ascii="仿宋_GB2312" w:hAnsi="仿宋_GB2312" w:eastAsia="仿宋_GB2312" w:cs="仿宋_GB2312"/>
          <w:i w:val="0"/>
          <w:iCs w:val="0"/>
          <w:caps w:val="0"/>
          <w:color w:val="auto"/>
          <w:spacing w:val="0"/>
          <w:sz w:val="32"/>
          <w:szCs w:val="32"/>
          <w:shd w:val="clear" w:fill="FFFFFF"/>
        </w:rPr>
        <w:t>小规模纳税人发生应税行为，购买方索取增值税专用发票的，可以向主管税务机关申请代开。</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第五十五条 </w:t>
      </w:r>
      <w:r>
        <w:rPr>
          <w:rFonts w:hint="eastAsia" w:ascii="仿宋_GB2312" w:hAnsi="仿宋_GB2312" w:eastAsia="仿宋_GB2312" w:cs="仿宋_GB2312"/>
          <w:i w:val="0"/>
          <w:iCs w:val="0"/>
          <w:caps w:val="0"/>
          <w:color w:val="auto"/>
          <w:spacing w:val="0"/>
          <w:sz w:val="32"/>
          <w:szCs w:val="32"/>
          <w:shd w:val="clear" w:fill="FFFFFF"/>
        </w:rPr>
        <w:t>纳税人增值税的征收管理，按照本办法和《</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"https://www.waizi.org.cn/shuishounews/4618.html" \o "《中华人民共和国税收征收管理法》2015年修订最新版（全文）" \t "https://www.waizi.org.cn/shuishounews/_blank"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中华人民共和国税收征收管理法</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》及现行增值税征收管理有关规定执行。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textAlignment w:val="auto"/>
        <w:rPr>
          <w:rFonts w:hint="eastAsia" w:ascii="黑体" w:hAnsi="黑体" w:eastAsia="黑体" w:cs="黑体"/>
          <w:i w:val="0"/>
          <w:iCs w:val="0"/>
          <w:caps w:val="0"/>
          <w:color w:val="auto"/>
          <w:spacing w:val="0"/>
          <w:sz w:val="32"/>
          <w:szCs w:val="32"/>
          <w:u w:val="none"/>
          <w:shd w:val="clear" w:fill="FFFFFF"/>
          <w:lang w:val="en-US" w:eastAsia="zh-CN"/>
        </w:rPr>
      </w:pPr>
      <w:r>
        <w:rPr>
          <w:rFonts w:hint="eastAsia" w:ascii="黑体" w:hAnsi="黑体" w:eastAsia="黑体" w:cs="黑体"/>
          <w:i w:val="0"/>
          <w:iCs w:val="0"/>
          <w:caps w:val="0"/>
          <w:color w:val="auto"/>
          <w:spacing w:val="0"/>
          <w:sz w:val="32"/>
          <w:szCs w:val="32"/>
          <w:u w:val="none"/>
          <w:shd w:val="clear" w:fill="FFFFFF"/>
          <w:lang w:val="en-US" w:eastAsia="zh-CN"/>
        </w:rPr>
        <w:t>附件2：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方正小标宋简体" w:eastAsia="方正小标宋简体" w:cs="方正小标宋简体"/>
          <w:i w:val="0"/>
          <w:iCs w:val="0"/>
          <w:caps w:val="0"/>
          <w:color w:val="auto"/>
          <w:spacing w:val="0"/>
          <w:sz w:val="32"/>
          <w:szCs w:val="32"/>
          <w:u w:val="none"/>
          <w:shd w:val="clear" w:fill="FFFFFF"/>
        </w:rPr>
      </w:pP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begin"/>
      </w:r>
      <w:r>
        <w:rPr>
          <w:rFonts w:hint="eastAsia" w:ascii="方正小标宋简体" w:hAnsi="方正小标宋简体" w:eastAsia="方正小标宋简体" w:cs="方正小标宋简体"/>
          <w:i w:val="0"/>
          <w:iCs w:val="0"/>
          <w:caps w:val="0"/>
          <w:color w:val="auto"/>
          <w:spacing w:val="0"/>
          <w:sz w:val="32"/>
          <w:szCs w:val="32"/>
          <w:u w:val="none"/>
          <w:shd w:val="clear" w:fill="FFFFFF"/>
        </w:rPr>
        <w:instrText xml:space="preserve"> HYPERLINK "http://www.chinatax.gov.cn/n810341/n810755/c2043931/5127107/files/2ede8105709348c6961d3b502c32dd25.docx" </w:instrText>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separate"/>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end"/>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begin"/>
      </w:r>
      <w:r>
        <w:rPr>
          <w:rFonts w:hint="eastAsia" w:ascii="方正小标宋简体" w:hAnsi="方正小标宋简体" w:eastAsia="方正小标宋简体" w:cs="方正小标宋简体"/>
          <w:i w:val="0"/>
          <w:iCs w:val="0"/>
          <w:caps w:val="0"/>
          <w:color w:val="auto"/>
          <w:spacing w:val="0"/>
          <w:sz w:val="32"/>
          <w:szCs w:val="32"/>
          <w:u w:val="none"/>
          <w:shd w:val="clear" w:fill="FFFFFF"/>
        </w:rPr>
        <w:instrText xml:space="preserve"> HYPERLINK "http://www.chinatax.gov.cn/n810341/n810755/c2043931/5127107/files/3dad2abd29964700b2d32589a4a80a24.doc" \t "http://www.chinatax.gov.cn/n810341/n810755/c2043931/_blank" </w:instrText>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separate"/>
      </w:r>
      <w:r>
        <w:rPr>
          <w:rStyle w:val="7"/>
          <w:rFonts w:hint="eastAsia" w:ascii="方正小标宋简体" w:hAnsi="方正小标宋简体" w:eastAsia="方正小标宋简体" w:cs="方正小标宋简体"/>
          <w:i w:val="0"/>
          <w:iCs w:val="0"/>
          <w:caps w:val="0"/>
          <w:color w:val="auto"/>
          <w:spacing w:val="0"/>
          <w:sz w:val="32"/>
          <w:szCs w:val="32"/>
          <w:u w:val="none"/>
          <w:shd w:val="clear" w:fill="FFFFFF"/>
        </w:rPr>
        <w:t>营业税改征增值税试点有关事项的规定</w:t>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600" w:right="0" w:firstLine="640" w:firstLineChars="200"/>
        <w:jc w:val="center"/>
        <w:textAlignment w:val="auto"/>
        <w:rPr>
          <w:rFonts w:hint="eastAsia" w:ascii="方正小标宋简体" w:hAnsi="方正小标宋简体" w:eastAsia="方正小标宋简体" w:cs="方正小标宋简体"/>
          <w:i w:val="0"/>
          <w:iCs w:val="0"/>
          <w:caps w:val="0"/>
          <w:color w:val="auto"/>
          <w:spacing w:val="0"/>
          <w:sz w:val="32"/>
          <w:szCs w:val="32"/>
          <w:u w:val="none"/>
          <w:shd w:val="clear" w:fill="FFFFFF"/>
        </w:rPr>
      </w:pPr>
    </w:p>
    <w:p>
      <w:pPr>
        <w:pStyle w:val="3"/>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b w:val="0"/>
          <w:bCs/>
          <w:i w:val="0"/>
          <w:iCs w:val="0"/>
          <w:caps w:val="0"/>
          <w:color w:val="auto"/>
          <w:spacing w:val="0"/>
          <w:sz w:val="32"/>
          <w:szCs w:val="32"/>
          <w:shd w:val="clear" w:fill="FFFFFF"/>
        </w:rPr>
        <w:t>营改增试点期间，试点纳税人[指按照《</w:t>
      </w:r>
      <w:r>
        <w:rPr>
          <w:rStyle w:val="6"/>
          <w:rFonts w:hint="eastAsia" w:ascii="仿宋_GB2312" w:hAnsi="仿宋_GB2312" w:eastAsia="仿宋_GB2312" w:cs="仿宋_GB2312"/>
          <w:b w:val="0"/>
          <w:bCs/>
          <w:i w:val="0"/>
          <w:iCs w:val="0"/>
          <w:caps w:val="0"/>
          <w:color w:val="auto"/>
          <w:spacing w:val="0"/>
          <w:sz w:val="32"/>
          <w:szCs w:val="32"/>
          <w:u w:val="none"/>
          <w:shd w:val="clear" w:fill="FFFFFF"/>
        </w:rPr>
        <w:fldChar w:fldCharType="begin"/>
      </w:r>
      <w:r>
        <w:rPr>
          <w:rStyle w:val="6"/>
          <w:rFonts w:hint="eastAsia" w:ascii="仿宋_GB2312" w:hAnsi="仿宋_GB2312" w:eastAsia="仿宋_GB2312" w:cs="仿宋_GB2312"/>
          <w:b w:val="0"/>
          <w:bCs/>
          <w:i w:val="0"/>
          <w:iCs w:val="0"/>
          <w:caps w:val="0"/>
          <w:color w:val="auto"/>
          <w:spacing w:val="0"/>
          <w:sz w:val="32"/>
          <w:szCs w:val="32"/>
          <w:u w:val="none"/>
          <w:shd w:val="clear" w:fill="FFFFFF"/>
        </w:rPr>
        <w:instrText xml:space="preserve"> HYPERLINK "https://www.waizi.org.cn/shuishounews/9779.html" \o "《营业税改征增值税试点实施办法》全文（财税〔2016〕36号附件1）" \t "https://www.waizi.org.cn/law/_blank" </w:instrText>
      </w:r>
      <w:r>
        <w:rPr>
          <w:rStyle w:val="6"/>
          <w:rFonts w:hint="eastAsia" w:ascii="仿宋_GB2312" w:hAnsi="仿宋_GB2312" w:eastAsia="仿宋_GB2312" w:cs="仿宋_GB2312"/>
          <w:b w:val="0"/>
          <w:bCs/>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b w:val="0"/>
          <w:bCs/>
          <w:i w:val="0"/>
          <w:iCs w:val="0"/>
          <w:caps w:val="0"/>
          <w:color w:val="auto"/>
          <w:spacing w:val="0"/>
          <w:sz w:val="32"/>
          <w:szCs w:val="32"/>
          <w:u w:val="none"/>
          <w:shd w:val="clear" w:fill="FFFFFF"/>
        </w:rPr>
        <w:t>营业税改征增值税试点实施办法</w:t>
      </w:r>
      <w:r>
        <w:rPr>
          <w:rStyle w:val="6"/>
          <w:rFonts w:hint="eastAsia" w:ascii="仿宋_GB2312" w:hAnsi="仿宋_GB2312" w:eastAsia="仿宋_GB2312" w:cs="仿宋_GB2312"/>
          <w:b w:val="0"/>
          <w:bCs/>
          <w:i w:val="0"/>
          <w:iCs w:val="0"/>
          <w:caps w:val="0"/>
          <w:color w:val="auto"/>
          <w:spacing w:val="0"/>
          <w:sz w:val="32"/>
          <w:szCs w:val="32"/>
          <w:u w:val="none"/>
          <w:shd w:val="clear" w:fill="FFFFFF"/>
        </w:rPr>
        <w:fldChar w:fldCharType="end"/>
      </w:r>
      <w:r>
        <w:rPr>
          <w:rStyle w:val="6"/>
          <w:rFonts w:hint="eastAsia" w:ascii="仿宋_GB2312" w:hAnsi="仿宋_GB2312" w:eastAsia="仿宋_GB2312" w:cs="仿宋_GB2312"/>
          <w:b w:val="0"/>
          <w:bCs/>
          <w:i w:val="0"/>
          <w:iCs w:val="0"/>
          <w:caps w:val="0"/>
          <w:color w:val="auto"/>
          <w:spacing w:val="0"/>
          <w:sz w:val="32"/>
          <w:szCs w:val="32"/>
          <w:shd w:val="clear" w:fill="FFFFFF"/>
        </w:rPr>
        <w:t>》(以下称《试点实施办法》)缴纳增值税的纳税人]有关政策</w:t>
      </w:r>
    </w:p>
    <w:p>
      <w:pPr>
        <w:pStyle w:val="3"/>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兼营。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lang w:eastAsia="zh-CN"/>
        </w:rPr>
      </w:pPr>
      <w:r>
        <w:rPr>
          <w:rFonts w:hint="eastAsia" w:ascii="仿宋_GB2312" w:hAnsi="仿宋_GB2312" w:eastAsia="仿宋_GB2312" w:cs="仿宋_GB2312"/>
          <w:i w:val="0"/>
          <w:iCs w:val="0"/>
          <w:caps w:val="0"/>
          <w:color w:val="auto"/>
          <w:spacing w:val="0"/>
          <w:sz w:val="32"/>
          <w:szCs w:val="32"/>
          <w:shd w:val="clear" w:fill="FFFFFF"/>
        </w:rPr>
        <w:t>试点纳税人销售货物、加工修理修配劳务、服务、无形资产或者不动产适用不同税率或者征收率的，应当分别核算适用不同税率或者征收率的销售额，未分别核算销售额的，按照以下方法适用税率或者征收率</w:t>
      </w:r>
      <w:r>
        <w:rPr>
          <w:rFonts w:hint="eastAsia" w:ascii="仿宋_GB2312" w:hAnsi="仿宋_GB2312" w:eastAsia="仿宋_GB2312" w:cs="仿宋_GB2312"/>
          <w:i w:val="0"/>
          <w:iCs w:val="0"/>
          <w:caps w:val="0"/>
          <w:color w:val="auto"/>
          <w:spacing w:val="0"/>
          <w:sz w:val="32"/>
          <w:szCs w:val="32"/>
          <w:shd w:val="clear" w:fill="FFFFFF"/>
          <w:lang w:eastAsia="zh-CN"/>
        </w:rPr>
        <w:t>：</w:t>
      </w:r>
    </w:p>
    <w:p>
      <w:pPr>
        <w:pStyle w:val="3"/>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兼有不同税率的销售货物、加工修理修配劳务、服务、无形资产或者不动产，从高适用税率。</w:t>
      </w:r>
    </w:p>
    <w:p>
      <w:pPr>
        <w:pStyle w:val="3"/>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兼有不同征收率的销售货物、加工修理修配劳务、服务、无形资产或者不动产，从高适用征收率。</w:t>
      </w:r>
    </w:p>
    <w:p>
      <w:pPr>
        <w:pStyle w:val="3"/>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兼有不同税率和征收率的销售货物、加工修理修配劳务、服务、无形资产或者不动产，从高适用税率。</w:t>
      </w:r>
    </w:p>
    <w:p>
      <w:pPr>
        <w:pStyle w:val="3"/>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不征收增值税项目。</w:t>
      </w:r>
    </w:p>
    <w:p>
      <w:pPr>
        <w:pStyle w:val="3"/>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根据国家指令无偿提供的铁路运输服务、航空运输服务，属于《试点实施办法》第十四条规定的用于公益事业的服务</w:t>
      </w:r>
      <w:r>
        <w:rPr>
          <w:rFonts w:hint="eastAsia" w:ascii="仿宋_GB2312" w:hAnsi="仿宋_GB2312" w:eastAsia="仿宋_GB2312" w:cs="仿宋_GB2312"/>
          <w:i w:val="0"/>
          <w:iCs w:val="0"/>
          <w:caps w:val="0"/>
          <w:color w:val="auto"/>
          <w:spacing w:val="0"/>
          <w:sz w:val="32"/>
          <w:szCs w:val="32"/>
          <w:shd w:val="clear" w:fill="FFFFFF"/>
          <w:lang w:eastAsia="zh-CN"/>
        </w:rPr>
        <w:t>。</w:t>
      </w:r>
    </w:p>
    <w:p>
      <w:pPr>
        <w:pStyle w:val="3"/>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存款利息。</w:t>
      </w:r>
    </w:p>
    <w:p>
      <w:pPr>
        <w:pStyle w:val="3"/>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被保险人获得的保险赔付。</w:t>
      </w:r>
    </w:p>
    <w:p>
      <w:pPr>
        <w:pStyle w:val="3"/>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房地产主管部门或者其指定机构、公积金管理中心、开发企业以及物业管理单位代收的住宅专项维修资金。</w:t>
      </w:r>
    </w:p>
    <w:p>
      <w:pPr>
        <w:pStyle w:val="3"/>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在资产重组过程中，通过合并、分立、出售、置换等方式，将全部或者部分实物资产以及与其相关联的债权、负债和劳动力一并转让给其他单位和个人，其中涉及的不动产、土地使用权转让行为。</w:t>
      </w:r>
    </w:p>
    <w:p>
      <w:pPr>
        <w:pStyle w:val="3"/>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销售额。</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贷款服务，以提供贷款服务取得的全部利息及利息性质的收入为销售额。</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直接收费金融服务，以提供直接收费金融服务收取的手续费、佣金、酬金、管理费、服务费、经手费、开户费、过户费、结算费、转托管费等各类费用为销售额。</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金融商品转让，按照卖出价扣除买入价后的余额为销售额。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转让金融商品出现的正负差，按盈亏相抵后的余额为销售额。若相抵后出现负差，可结转下一纳税期与下期转让金融商品销售额相抵，但年末时仍出现负差的，不得转入下一个会计年度。</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金融商品的买入价，可以选择按照加权平均法或者移动加权平均法进行核算，选择后36个月内不得变更。</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金融商品转让，不得开具增值税专用发票。</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经纪代理服务，以取得的全部价款和价外费用，扣除向委托方收取并代为支付的政府性基金或者行政事业性收费后的余额为销售额。向委托方收取的政府性基金或者行政事业性收费，不得开具增值税专用发票。</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融资租赁和融资性售后回租业务。</w:t>
      </w:r>
    </w:p>
    <w:p>
      <w:pPr>
        <w:pStyle w:val="3"/>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人民银行、银监会或者商务部批准从事融资租赁业务的试点纳税人，提供融资租赁服务，以取得的全部价款和价外费用，扣除支付的借款利息（包括外汇借款和人民币借款利息）、发行债券利息和车辆购置税后的余额为销售额。</w:t>
      </w:r>
    </w:p>
    <w:p>
      <w:pPr>
        <w:pStyle w:val="3"/>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人民银行、银监会或者商务部批准从事融资租赁业务的试点纳税人，提供融资性售后回租服务，以取得的全部价款和价外费用（不含本金），扣除对外支付的借款利息（包括外汇借款和人民币借款利息）、发行债券利息后的余额作为销售额。</w:t>
      </w:r>
    </w:p>
    <w:p>
      <w:pPr>
        <w:pStyle w:val="3"/>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试点纳税人根据2016年4月30日前签订的有形动产融资性售后回租合同，在合同到期前提供的有形动产融资性售后回租服务，可继续按照有形动产融资租赁服务缴纳增值税。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继续按照有形动产融资租赁服务缴纳增值税的试点纳税人,经人民银行、银监会或者商务部批准从事融资租赁业务的，根据2016年4月30日前签订的有形动产融资性售后回租合同，在合同到期前提供的有形动产融资性售后回租服务，可以选择以下方法之一计算销售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①以向承租方收取的全部价款和价外费用，扣除向承租方收取的价款本金，以及对外支付的借款利息（包括外汇借款和人民币借款利息）、发行债券利息后的余额为销售额。</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纳税人提供有形动产融资性售后回租服务，计算当期销售额时可以扣除的价款本金，为书面合同约定的当期应当收取的本金。无书面合同或者书面合同没有约定的，为当期实际收取的本金。</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试点纳税人提供有形动产融资性售后回租服务，向承租方收取的有形动产价款本金，不得开具增值税专用发票，可以开具普通发票。</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②以向承租方收取的全部价款和价外费用，扣除支付的借款利息（包括外汇借款和人民币借款利息）、发行债券利息后的余额为销售额。</w:t>
      </w:r>
    </w:p>
    <w:p>
      <w:pPr>
        <w:pStyle w:val="3"/>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商务部授权的省级商务主管部门和国家经济技术开发区批准的从事融资租赁业务的试点纳税人，2016年5月1日后实收资本达到1.7亿元的，从达到标准的当月起按照上述第（1）、（2）、（3）点规定执行；2016年5月1日后实收资本未达到1.7亿元但注册资本达到1.7亿元的，在2016年7月31日前仍可按照上述第（1）、（2）、（3）点规定执行，2016年8月1日后开展的融资租赁业务和融资性售后回租业务不得按照上述第（1）、（2）、（3）点规定执行。</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航空运输企业的销售额，不包括代收的机场建设费和代售其他航空运输企业客票而代收转付的价款。</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试点纳税人中的一般纳税人（以下称一般纳税人）提供客运场站服务，以其取得的全部价款和价外费用，扣除支付给承运方运费后的余额为销售额。</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提供旅游服务，可以选择以取得的全部价款和价外费用，扣除向旅游服务购买方收取并支付给其他单位或者个人的住宿费、餐饮费、交通费、签证费、门票费和支付给其他接团旅游企业的旅游费用后的余额为销售额。</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选择上述办法计算销售额的试点纳税人，向旅游服务购买方收取并支付的上述费用，不得开具增值税专用发票，可以开具普通发票。</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试点纳税人提供建筑服务适用简易计税方法的，以取得的全部价款和价外费用扣除支付的分包款后的余额为销售额。</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房地产开发企业中的一般纳税人销售其开发的房地产项目（选择简易计税方法的房地产老项目除外），以取得的全部价款和价外费用，扣除受让土地时向政府部门支付的土地价款后的余额为销售额。</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房地产老项目，是指《建筑工程施工许可证》注明的合同开工日期在2016年4月30日前的房地产项目。</w:t>
      </w:r>
    </w:p>
    <w:p>
      <w:pPr>
        <w:pStyle w:val="3"/>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试点纳税人按照上述4－10款的规定从全部价款和价外费用中扣除的价款，应当取得符合法律、行政法规和国家税务总局规定的有效凭证。否则，不得扣除。</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上述凭证是指：</w:t>
      </w:r>
    </w:p>
    <w:p>
      <w:pPr>
        <w:pStyle w:val="3"/>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支付给境内单位或者个人的款项，以发票为合法有效凭证。</w:t>
      </w:r>
    </w:p>
    <w:p>
      <w:pPr>
        <w:pStyle w:val="3"/>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支付给境外单位或者个人的款项，以该单位或者个人的签收单据为合法有效凭证，税务机关对签收单据有疑议的，可以要求其提供境外公证机构的确认证明。</w:t>
      </w:r>
    </w:p>
    <w:p>
      <w:pPr>
        <w:pStyle w:val="3"/>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缴纳的税款，以完税凭证为合法有效凭证。</w:t>
      </w:r>
    </w:p>
    <w:p>
      <w:pPr>
        <w:pStyle w:val="3"/>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扣除的政府性基金、行政事业性收费或者向政府支付的土地价款，以省级以上（含省级）财政部门监（印）制的财政票据为合法有效凭证。</w:t>
      </w:r>
    </w:p>
    <w:p>
      <w:pPr>
        <w:pStyle w:val="3"/>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国家税务总局规定的其他凭证。</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纳税人取得的上述凭证属于增值税扣税凭证的，其进项税额不得从销项税额中抵扣。</w:t>
      </w:r>
    </w:p>
    <w:p>
      <w:pPr>
        <w:pStyle w:val="3"/>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进项税额。</w:t>
      </w:r>
    </w:p>
    <w:p>
      <w:pPr>
        <w:pStyle w:val="3"/>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适用一般计税方法的试点纳税人，2016年5月1日后取得并在会计制度上按固定资产核算的不动产或者2016年5月1日后取得的不动产在建工程，其进项税额应自取得之日起分2年从销项税额中抵扣，第一年抵扣比例为60%，第二年抵扣比例为40%。</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取得不动产，包括以直接购买、接受捐赠、接受投资入股、自建以及抵债等各种形式取得不动产，不包括房地产开发企业自行开发的房地产项目。</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融资租入的不动产以及在施工现场修建的临时建筑物、构筑物，其进项税额不适用上述分2年抵扣的规定。</w:t>
      </w:r>
    </w:p>
    <w:p>
      <w:pPr>
        <w:pStyle w:val="3"/>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照《试点实施办法》第二十七条第（一）项规定不得抵扣且未抵扣进项税额的固定资产、无形资产、不动产，发生用途改变，用于允许抵扣进项税额的应税项目，可在用途改变的次月按照下列公式计算可以抵扣的进项税额：可以抵扣的进项税额=固定资产、无形资产、不动产净值/（1+适用税率）×适用税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上述可以抵扣的进项税额应取得合法有效的增值税扣税凭证。</w:t>
      </w:r>
    </w:p>
    <w:p>
      <w:pPr>
        <w:pStyle w:val="3"/>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纳税人接受贷款服务向贷款方支付的与该笔贷款直接相关的投融资顾问费、手续费、咨询费等费用，其进项税额不得从销项税额中抵扣。</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一般纳税人资格登记。</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《试点实施办法》第三条规定的年应税销售额标准为500万元（含本数）。财政部和国家税务总局可以对年应税销售额标准进行调整。</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计税方法。</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一般纳税人发生下列应税行为可以选择适用简易计税方法计税：</w:t>
      </w:r>
    </w:p>
    <w:p>
      <w:pPr>
        <w:pStyle w:val="3"/>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公共交通运输服务。</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公共交通运输服务，包括轮客渡、公交客运、地铁、城市轻轨、出租车、长途客运、班车。</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班车，是指按固定路线、固定时间运营并在固定站点停靠的运送旅客的陆路运输服务。</w:t>
      </w:r>
    </w:p>
    <w:p>
      <w:pPr>
        <w:pStyle w:val="3"/>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认定的动漫企业为开发动漫产品提供的动漫脚本编撰、形象设计、背景设计、动画设计、分镜、动画制作、摄制、描线、上色、画面合成、配音、配乐、音效合成、剪辑、字幕制作、压缩转码(面向网络动漫、手机动漫格式适配)服务，以及在境内转让动漫版权(包括动漫品牌、形象或者内容的授权及再授权)。</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动漫企业和自主开发、生产动漫产品的认定标准和认定程序，按照《文化部 财政部 国家税务总局关于印发〈</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"https://www.waizi.org.cn/law/9414.html" \o "文市发〔2008〕51号《动漫企业认定管理办法（试行）》（全文）"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动漫企业认定管理办法（试行）</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〉的通知》(</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"https://www.waizi.org.cn/law/9414.html" \o "文市发〔2008〕51号《动漫企业认定管理办法（试行）》（全文）"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文市发〔2008〕51号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)的规定执行。</w:t>
      </w:r>
    </w:p>
    <w:p>
      <w:pPr>
        <w:pStyle w:val="3"/>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电影放映服务、仓储服务、装卸搬运服务、收派服务和文化体育服务。</w:t>
      </w:r>
    </w:p>
    <w:p>
      <w:pPr>
        <w:pStyle w:val="3"/>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以纳入营改增试点之日前取得的有形动产为标的物提供的经营租赁服务。</w:t>
      </w:r>
    </w:p>
    <w:p>
      <w:pPr>
        <w:pStyle w:val="3"/>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在纳入营改增试点之日前签订的尚未执行完毕的有形动产租赁合同。</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建筑服务。</w:t>
      </w:r>
    </w:p>
    <w:p>
      <w:pPr>
        <w:pStyle w:val="3"/>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一般纳税人以清包工方式提供的建筑服务，可以选择适用简易计税方法计税。</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以清包工方式提供建筑服务，是指施工方不采购建筑工程所需的材料或只采购辅助材料，并收取人工费、管理费或者其他费用的建筑服务。</w:t>
      </w:r>
    </w:p>
    <w:p>
      <w:pPr>
        <w:pStyle w:val="3"/>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一般纳税人为甲供工程提供的建筑服务，可以选择适用简易计税方法计税。</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甲供工程，是指全部或部分设备、材料、动力由工程发包方自行采购的建筑工程。</w:t>
      </w:r>
    </w:p>
    <w:p>
      <w:pPr>
        <w:pStyle w:val="3"/>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一般纳税人为建筑工程老项目提供的建筑服务，可以选择适用简易计税方法计税。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建筑工程老项目，是指：</w:t>
      </w:r>
    </w:p>
    <w:p>
      <w:pPr>
        <w:pStyle w:val="3"/>
        <w:keepNext w:val="0"/>
        <w:keepLines w:val="0"/>
        <w:pageBreakBefore w:val="0"/>
        <w:widowControl/>
        <w:numPr>
          <w:ilvl w:val="0"/>
          <w:numId w:val="2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《建筑工程施工许可证》注明的合同开工日期在2016年4月30日前的建筑工程项目；</w:t>
      </w:r>
    </w:p>
    <w:p>
      <w:pPr>
        <w:pStyle w:val="3"/>
        <w:keepNext w:val="0"/>
        <w:keepLines w:val="0"/>
        <w:pageBreakBefore w:val="0"/>
        <w:widowControl/>
        <w:numPr>
          <w:ilvl w:val="0"/>
          <w:numId w:val="2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未取得《建筑工程施工许可证》的，建筑工程承包合同注明的开工日期在2016年4月30日前的建筑工程项目。</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跨县（市）提供建筑服务，适用一般计税方法计税的，应以取得的全部价款和价外费用为销售额计算应纳税额。纳税人应以取得的全部价款和价外费用扣除支付的分包款后的余额，按照2％的预征率在建筑服务发生地预缴税款后，向机构所在地主管税务机关进行纳税申报。</w:t>
      </w:r>
    </w:p>
    <w:p>
      <w:pPr>
        <w:pStyle w:val="3"/>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跨县（市）提供建筑服务，选择适用简易计税方法计税的，应以取得的全部价款和价外费用扣除支付的分包款后的余额为销售额，按照3%的征收率计算应纳税额。纳税人应按照上述计税方法在建筑服务发生地预缴税款后，向机构所在地主管税务机关进行纳税申报。</w:t>
      </w:r>
    </w:p>
    <w:p>
      <w:pPr>
        <w:pStyle w:val="3"/>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中的小规模纳税人（以下称小规模纳税人）跨县（市）提供建筑服务，应以取得的全部价款和价外费用扣除支付的分包款后的余额为销售额，按照3%的征收率计算应纳税额。纳税人应按照上述计税方法在建筑服务发生地预缴税款后，向机构所在地主管税务机关进行纳税申报。</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销售不动产。</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销售其2016年4月30日前取得（不含自建）的不动产，可以选择适用简易计税方法，以取得的全部价款和价外费用减去该项不动产购置原价或者取得不动产时的作价后的余额为销售额，按照5%的征收率计算应纳税额。纳税人应按照上述计税方法在不动产所在地预缴税款后，向机构所在地主管税务机关进行纳税申报。</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销售其2016年4月30日前自建的不动产，可以选择适用简易计税方法，以取得的全部价款和价外费用为销售额，按照5%的征收率计算应纳税额。纳税人应按照上述计税方法在不动产所在地预缴税款后，向机构所在地主管税务机关进行纳税申报。</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销售其2016年5月1日后取得（不含自建）的不动产，应适用一般计税方法，以取得的全部价款和价外费用为销售额计算应纳税额。纳税人应以取得的全部价款和价外费用减去该项不动产购置原价或者取得不动产时的作价后的余额，按照5%的预征率在不动产所在地预缴税款后，向机构所在地主管税务机关进行纳税申报。</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销售其2016年5月1日后自建的不动产，应适用一般计税方法，以取得的全部价款和价外费用为销售额计算应纳税额。纳税人应以取得的全部价款和价外费用，按照5%的预征率在不动产所在地预缴税款后，向机构所在地主管税务机关进行纳税申报。</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小规模纳税人销售其取得（不含自建）的不动产（不含个体工商户销售购买的住房和其他个人销售不动产），应以取得的全部价款和价外费用减去该项不动产购置原价或者取得不动产时的作价后的余额为销售额，按照5%的征收率计算应纳税额。纳税人应按照上述计税方法在不动产所在地预缴税款后，向机构所在地主管税务机关进行纳税申报。</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小规模纳税人销售其自建的不动产，应以取得的全部价款和价外费用为销售额，按照5%的征收率计算应纳税额。纳税人应按照上述计税方法在不动产所在地预缴税款后，向机构所在地主管税务机关进行纳税申报。</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房地产开发企业中的一般纳税人，销售自行开发的房地产老项目，可以选择适用简易计税方法按照5%的征收率计税。</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房地产开发企业中的小规模纳税人，销售自行开发的房地产项目，按照5%的征收率计税。</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房地产开发企业采取预收款方式销售所开发的房地产项目，在收到预收款时按照3%的预征率预缴增值税。</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个体工商户销售购买的住房，应按照附件3《</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"https://www.waizi.org.cn/law/9789.html" \o "《营业税改征增值税试点过渡政策的规定》全文（财税〔2016〕36号附件3）"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营业税改征增值税试点过渡政策的规定</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》第五条的规定征免增值税。纳税人应按照上述计税方法在不动产所在地预缴税款后，向机构所在地主管税务机关进行纳税申报。</w:t>
      </w:r>
    </w:p>
    <w:p>
      <w:pPr>
        <w:pStyle w:val="3"/>
        <w:keepNext w:val="0"/>
        <w:keepLines w:val="0"/>
        <w:pageBreakBefore w:val="0"/>
        <w:widowControl/>
        <w:numPr>
          <w:ilvl w:val="0"/>
          <w:numId w:val="2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其他个人销售其取得（不含自建）的不动产（不含其购买的住房），应以取得的全部价款和价外费用减去该项不动产购置原价或者取得不动产时的作价后的余额为销售额，按照5%的征收率计算应纳税额。</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不动产经营租赁服务。</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numPr>
          <w:ilvl w:val="0"/>
          <w:numId w:val="2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出租其2016年4月30日前取得的不动产，可以选择适用简易计税方法,按照5%的征收率计算应纳税额。纳税人出租其2016年4月30日前取得的与机构所在地不在同一县（市）的不动产，应按照上述计税方法在不动产所在地预缴税款后，向机构所在地主管税务机关进行纳税申报。</w:t>
      </w:r>
    </w:p>
    <w:p>
      <w:pPr>
        <w:pStyle w:val="3"/>
        <w:keepNext w:val="0"/>
        <w:keepLines w:val="0"/>
        <w:pageBreakBefore w:val="0"/>
        <w:widowControl/>
        <w:numPr>
          <w:ilvl w:val="0"/>
          <w:numId w:val="2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公路经营企业中的一般纳税人收取试点前开工的高速公路的车辆通行费，可以选择适用简易计税方法，减按3%的征收率计算应纳税额。</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试点前开工的高速公路，是指相关施工许可证明上注明的合同开工日期在2016年4月30日前的高速公路。</w:t>
      </w:r>
    </w:p>
    <w:p>
      <w:pPr>
        <w:pStyle w:val="3"/>
        <w:keepNext w:val="0"/>
        <w:keepLines w:val="0"/>
        <w:pageBreakBefore w:val="0"/>
        <w:widowControl/>
        <w:numPr>
          <w:ilvl w:val="0"/>
          <w:numId w:val="2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一般纳税人出租其2016年5月1日后取得的、与机构所在地不在同一县（市）的不动产，应按照3％的预征率在不动产所在地预缴税款后，向机构所在地主管税务机关进行纳税申报。</w:t>
      </w:r>
    </w:p>
    <w:p>
      <w:pPr>
        <w:pStyle w:val="3"/>
        <w:keepNext w:val="0"/>
        <w:keepLines w:val="0"/>
        <w:pageBreakBefore w:val="0"/>
        <w:widowControl/>
        <w:numPr>
          <w:ilvl w:val="0"/>
          <w:numId w:val="2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小规模纳税人出租其取得的不动产（不含个人出租住房），应按照5%的征收率计算应纳税额。纳税人出租与机构所在地不在同一县（市）的不动产，应按照上述计税方法在不动产所在地预缴税款后，向机构所在地主管税务机关进行纳税申报。</w:t>
      </w:r>
    </w:p>
    <w:p>
      <w:pPr>
        <w:pStyle w:val="3"/>
        <w:keepNext w:val="0"/>
        <w:keepLines w:val="0"/>
        <w:pageBreakBefore w:val="0"/>
        <w:widowControl/>
        <w:numPr>
          <w:ilvl w:val="0"/>
          <w:numId w:val="2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其他个人出租其取得的不动产（不含住房），应按照5%的征收率计算应纳税额。</w:t>
      </w:r>
    </w:p>
    <w:p>
      <w:pPr>
        <w:pStyle w:val="3"/>
        <w:keepNext w:val="0"/>
        <w:keepLines w:val="0"/>
        <w:pageBreakBefore w:val="0"/>
        <w:widowControl/>
        <w:numPr>
          <w:ilvl w:val="0"/>
          <w:numId w:val="2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个人出租住房，应按照5%的征收率减按1.5%计算应纳税额。</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一般纳税人</w:t>
      </w:r>
      <w:r>
        <w:rPr>
          <w:rFonts w:hint="eastAsia" w:ascii="仿宋_GB2312" w:hAnsi="仿宋_GB2312" w:eastAsia="仿宋_GB2312" w:cs="仿宋_GB2312"/>
          <w:i w:val="0"/>
          <w:iCs w:val="0"/>
          <w:caps w:val="0"/>
          <w:color w:val="auto"/>
          <w:spacing w:val="0"/>
          <w:sz w:val="32"/>
          <w:szCs w:val="32"/>
          <w:shd w:val="clear" w:fill="FFFFFF"/>
        </w:rPr>
        <w:t>销售其2016年4月30日前取得的不动产（不含自建），适用一般计税方法计税的，以取得的全部价款和价外费用为销售额计算应纳税额。上述纳税人应以取得的全部价款和价外费用减去该项不动产购置原价或者取得不动产时的作价后的余额，按照5%的预征率在不动产所在地预缴税款后，向机构所在地主管税务机关进行纳税申报。</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房地产开发企业中的一般纳税人销售房地产老项目，以及一般纳税人出租其2016年4月30日前取得的不动产，适用一般计税方法计税的，应以取得的全部价款和价外费用，按照3%的预征率在不动产所在地预缴税款后，向机构所在地主管税务机关进行纳税申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销售其2016年4月30日前自建的不动产，适用一般计税方法计税的，应以取得的全部价款和价外费用为销售额计算应纳税额。纳税人应以取得的全部价款和价外费用，按照5%的预征率在不动产所在地预缴税款后，向机构所在地主管税务机关进行纳税申报。</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一般纳税人</w:t>
      </w:r>
      <w:r>
        <w:rPr>
          <w:rFonts w:hint="eastAsia" w:ascii="仿宋_GB2312" w:hAnsi="仿宋_GB2312" w:eastAsia="仿宋_GB2312" w:cs="仿宋_GB2312"/>
          <w:i w:val="0"/>
          <w:iCs w:val="0"/>
          <w:caps w:val="0"/>
          <w:color w:val="auto"/>
          <w:spacing w:val="0"/>
          <w:sz w:val="32"/>
          <w:szCs w:val="32"/>
          <w:shd w:val="clear" w:fill="FFFFFF"/>
        </w:rPr>
        <w:t>跨省（自治区、直辖市或者计划单列市）提供建筑服务或者销售、出租取得的与机构所在地不在同一省（自治区、直辖市或者计划单列市）的不动产，在机构所在地申报纳税时，计算的应纳税额小于已预缴税额，且差额较大的，由国家税务总局通知建筑服务发生地或者不动产所在地省级税务机关，在一定时期内暂停预缴增值税。</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纳税地点。</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属于固定业户的试点纳税人，总分支机构不在同一县(市)，但在同一省(自治区、直辖市、计划单列市)范围内的，经省(自治区、直辖市、计划单列市)财政厅(局)和国家税务局批准，可以由总机构汇总向总机构所在地的主管税务机关申报缴纳增值税。</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楷体_GB2312" w:hAnsi="楷体_GB2312" w:eastAsia="楷体_GB2312" w:cs="楷体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试点前发生的业务。</w:t>
      </w:r>
    </w:p>
    <w:p>
      <w:pPr>
        <w:pStyle w:val="3"/>
        <w:keepNext w:val="0"/>
        <w:keepLines w:val="0"/>
        <w:pageBreakBefore w:val="0"/>
        <w:widowControl/>
        <w:numPr>
          <w:ilvl w:val="0"/>
          <w:numId w:val="2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发生应税行为，按照国家有关营业税政策规定差额征收营业税的，因取得的全部价款和价外费用不足以抵减允许扣除项目金额，截至纳入营改增试点之日前尚未扣除的部分，不得在计算试点纳税人增值税应税销售额时抵减，应当向原主管地税机关申请退还营业税。</w:t>
      </w:r>
    </w:p>
    <w:p>
      <w:pPr>
        <w:pStyle w:val="3"/>
        <w:keepNext w:val="0"/>
        <w:keepLines w:val="0"/>
        <w:pageBreakBefore w:val="0"/>
        <w:widowControl/>
        <w:numPr>
          <w:ilvl w:val="0"/>
          <w:numId w:val="2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试点纳税人发生应税行为，在纳入营改增试点之日前已缴纳营业税，营改增试点后因发生退款减除营业额的，应当向原主管地税机关申请退还已缴纳的营业税。</w:t>
      </w:r>
    </w:p>
    <w:p>
      <w:pPr>
        <w:pStyle w:val="3"/>
        <w:keepNext w:val="0"/>
        <w:keepLines w:val="0"/>
        <w:pageBreakBefore w:val="0"/>
        <w:widowControl/>
        <w:numPr>
          <w:ilvl w:val="0"/>
          <w:numId w:val="2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试点纳税人纳入营改增试点之日前发生的应税行为，因税收检查等原因需要补缴税款的，应按照营业税政策规定补缴营业税。</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楷体_GB2312" w:hAnsi="楷体_GB2312" w:eastAsia="楷体_GB2312" w:cs="楷体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销售使用过的固定资产。</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一般纳税人销售自己使用过的、纳入营改增试点之日前取得的固定资产，按照现行旧货相关增值税政策执行。</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使用过的固定资产，是指纳税人符合《试点实施办法》第二十八条规定并根据财务会计制度已经计提折旧的固定资产。</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扣缴增值税适用税率。</w:t>
      </w:r>
      <w:r>
        <w:rPr>
          <w:rFonts w:hint="eastAsia" w:ascii="楷体_GB2312" w:hAnsi="楷体_GB2312" w:eastAsia="楷体_GB2312" w:cs="楷体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境内的购买方为境外单位和个人扣缴增值税的，按照适用税率扣缴增值税。</w:t>
      </w:r>
    </w:p>
    <w:p>
      <w:pPr>
        <w:pStyle w:val="3"/>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其他规定。</w:t>
      </w:r>
    </w:p>
    <w:p>
      <w:pPr>
        <w:pStyle w:val="3"/>
        <w:keepNext w:val="0"/>
        <w:keepLines w:val="0"/>
        <w:pageBreakBefore w:val="0"/>
        <w:widowControl/>
        <w:numPr>
          <w:ilvl w:val="0"/>
          <w:numId w:val="2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试点纳税人销售电信服务时，附带赠送用户识别卡、电信终端等货物或者电信服务的，应将其取得的全部价款和价外费用进行分别核算，按各自适用的税率计算缴纳增值税。</w:t>
      </w:r>
    </w:p>
    <w:p>
      <w:pPr>
        <w:pStyle w:val="3"/>
        <w:keepNext w:val="0"/>
        <w:keepLines w:val="0"/>
        <w:pageBreakBefore w:val="0"/>
        <w:widowControl/>
        <w:numPr>
          <w:ilvl w:val="0"/>
          <w:numId w:val="2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油气田企业发生应税行为，适用《试点实施办法》规定的增值税税率，不再适用《财政部国家税务总局关于印发〈油气田企业增值税管理办法〉的通知》（财税〔2009〕8号）规定的增值税税率。</w:t>
      </w:r>
    </w:p>
    <w:p>
      <w:pPr>
        <w:pStyle w:val="3"/>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b w:val="0"/>
          <w:bCs/>
          <w:i w:val="0"/>
          <w:iCs w:val="0"/>
          <w:caps w:val="0"/>
          <w:color w:val="auto"/>
          <w:spacing w:val="0"/>
          <w:sz w:val="32"/>
          <w:szCs w:val="32"/>
          <w:shd w:val="clear" w:fill="FFFFFF"/>
        </w:rPr>
      </w:pPr>
      <w:r>
        <w:rPr>
          <w:rStyle w:val="6"/>
          <w:rFonts w:hint="eastAsia" w:ascii="仿宋_GB2312" w:hAnsi="仿宋_GB2312" w:eastAsia="仿宋_GB2312" w:cs="仿宋_GB2312"/>
          <w:b w:val="0"/>
          <w:bCs/>
          <w:i w:val="0"/>
          <w:iCs w:val="0"/>
          <w:caps w:val="0"/>
          <w:color w:val="auto"/>
          <w:spacing w:val="0"/>
          <w:sz w:val="32"/>
          <w:szCs w:val="32"/>
          <w:shd w:val="clear" w:fill="FFFFFF"/>
        </w:rPr>
        <w:t>原增值税纳税人[指按照《</w:t>
      </w:r>
      <w:r>
        <w:rPr>
          <w:rStyle w:val="6"/>
          <w:rFonts w:hint="eastAsia" w:ascii="仿宋_GB2312" w:hAnsi="仿宋_GB2312" w:eastAsia="仿宋_GB2312" w:cs="仿宋_GB2312"/>
          <w:b w:val="0"/>
          <w:bCs/>
          <w:i w:val="0"/>
          <w:iCs w:val="0"/>
          <w:caps w:val="0"/>
          <w:color w:val="auto"/>
          <w:spacing w:val="0"/>
          <w:sz w:val="32"/>
          <w:szCs w:val="32"/>
          <w:u w:val="none"/>
          <w:shd w:val="clear" w:fill="FFFFFF"/>
        </w:rPr>
        <w:fldChar w:fldCharType="begin"/>
      </w:r>
      <w:r>
        <w:rPr>
          <w:rStyle w:val="6"/>
          <w:rFonts w:hint="eastAsia" w:ascii="仿宋_GB2312" w:hAnsi="仿宋_GB2312" w:eastAsia="仿宋_GB2312" w:cs="仿宋_GB2312"/>
          <w:b w:val="0"/>
          <w:bCs/>
          <w:i w:val="0"/>
          <w:iCs w:val="0"/>
          <w:caps w:val="0"/>
          <w:color w:val="auto"/>
          <w:spacing w:val="0"/>
          <w:sz w:val="32"/>
          <w:szCs w:val="32"/>
          <w:u w:val="none"/>
          <w:shd w:val="clear" w:fill="FFFFFF"/>
        </w:rPr>
        <w:instrText xml:space="preserve"> HYPERLINK "https://www.waizi.org.cn/tax/27191.html" \o "《中华人民共和国增值税暂行条例》2017年修订版（全文）" \t "https://www.waizi.org.cn/law/_blank" </w:instrText>
      </w:r>
      <w:r>
        <w:rPr>
          <w:rStyle w:val="6"/>
          <w:rFonts w:hint="eastAsia" w:ascii="仿宋_GB2312" w:hAnsi="仿宋_GB2312" w:eastAsia="仿宋_GB2312" w:cs="仿宋_GB2312"/>
          <w:b w:val="0"/>
          <w:bCs/>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b w:val="0"/>
          <w:bCs/>
          <w:i w:val="0"/>
          <w:iCs w:val="0"/>
          <w:caps w:val="0"/>
          <w:color w:val="auto"/>
          <w:spacing w:val="0"/>
          <w:sz w:val="32"/>
          <w:szCs w:val="32"/>
          <w:u w:val="none"/>
          <w:shd w:val="clear" w:fill="FFFFFF"/>
        </w:rPr>
        <w:t>中华人民共和国增值税暂行条例</w:t>
      </w:r>
      <w:r>
        <w:rPr>
          <w:rStyle w:val="6"/>
          <w:rFonts w:hint="eastAsia" w:ascii="仿宋_GB2312" w:hAnsi="仿宋_GB2312" w:eastAsia="仿宋_GB2312" w:cs="仿宋_GB2312"/>
          <w:b w:val="0"/>
          <w:bCs/>
          <w:i w:val="0"/>
          <w:iCs w:val="0"/>
          <w:caps w:val="0"/>
          <w:color w:val="auto"/>
          <w:spacing w:val="0"/>
          <w:sz w:val="32"/>
          <w:szCs w:val="32"/>
          <w:u w:val="none"/>
          <w:shd w:val="clear" w:fill="FFFFFF"/>
        </w:rPr>
        <w:fldChar w:fldCharType="end"/>
      </w:r>
      <w:r>
        <w:rPr>
          <w:rStyle w:val="6"/>
          <w:rFonts w:hint="eastAsia" w:ascii="仿宋_GB2312" w:hAnsi="仿宋_GB2312" w:eastAsia="仿宋_GB2312" w:cs="仿宋_GB2312"/>
          <w:b w:val="0"/>
          <w:bCs/>
          <w:i w:val="0"/>
          <w:iCs w:val="0"/>
          <w:caps w:val="0"/>
          <w:color w:val="auto"/>
          <w:spacing w:val="0"/>
          <w:sz w:val="32"/>
          <w:szCs w:val="32"/>
          <w:shd w:val="clear" w:fill="FFFFFF"/>
        </w:rPr>
        <w:t>》（</w:t>
      </w:r>
      <w:r>
        <w:rPr>
          <w:rStyle w:val="6"/>
          <w:rFonts w:hint="eastAsia" w:ascii="仿宋_GB2312" w:hAnsi="仿宋_GB2312" w:eastAsia="仿宋_GB2312" w:cs="仿宋_GB2312"/>
          <w:b w:val="0"/>
          <w:bCs/>
          <w:i w:val="0"/>
          <w:iCs w:val="0"/>
          <w:caps w:val="0"/>
          <w:color w:val="auto"/>
          <w:spacing w:val="0"/>
          <w:sz w:val="32"/>
          <w:szCs w:val="32"/>
          <w:u w:val="none"/>
          <w:shd w:val="clear" w:fill="FFFFFF"/>
        </w:rPr>
        <w:fldChar w:fldCharType="begin"/>
      </w:r>
      <w:r>
        <w:rPr>
          <w:rStyle w:val="6"/>
          <w:rFonts w:hint="eastAsia" w:ascii="仿宋_GB2312" w:hAnsi="仿宋_GB2312" w:eastAsia="仿宋_GB2312" w:cs="仿宋_GB2312"/>
          <w:b w:val="0"/>
          <w:bCs/>
          <w:i w:val="0"/>
          <w:iCs w:val="0"/>
          <w:caps w:val="0"/>
          <w:color w:val="auto"/>
          <w:spacing w:val="0"/>
          <w:sz w:val="32"/>
          <w:szCs w:val="32"/>
          <w:u w:val="none"/>
          <w:shd w:val="clear" w:fill="FFFFFF"/>
        </w:rPr>
        <w:instrText xml:space="preserve"> HYPERLINK "https://www.waizi.org.cn/law/9789.html" \o "国务院令第538号《中华人民共和国增值税暂行条例》2008年修订版（全文）" \t "https://www.waizi.org.cn/law/_blank" </w:instrText>
      </w:r>
      <w:r>
        <w:rPr>
          <w:rStyle w:val="6"/>
          <w:rFonts w:hint="eastAsia" w:ascii="仿宋_GB2312" w:hAnsi="仿宋_GB2312" w:eastAsia="仿宋_GB2312" w:cs="仿宋_GB2312"/>
          <w:b w:val="0"/>
          <w:bCs/>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b w:val="0"/>
          <w:bCs/>
          <w:i w:val="0"/>
          <w:iCs w:val="0"/>
          <w:caps w:val="0"/>
          <w:color w:val="auto"/>
          <w:spacing w:val="0"/>
          <w:sz w:val="32"/>
          <w:szCs w:val="32"/>
          <w:u w:val="none"/>
          <w:shd w:val="clear" w:fill="FFFFFF"/>
        </w:rPr>
        <w:t>国务院令第538号</w:t>
      </w:r>
      <w:r>
        <w:rPr>
          <w:rStyle w:val="6"/>
          <w:rFonts w:hint="eastAsia" w:ascii="仿宋_GB2312" w:hAnsi="仿宋_GB2312" w:eastAsia="仿宋_GB2312" w:cs="仿宋_GB2312"/>
          <w:b w:val="0"/>
          <w:bCs/>
          <w:i w:val="0"/>
          <w:iCs w:val="0"/>
          <w:caps w:val="0"/>
          <w:color w:val="auto"/>
          <w:spacing w:val="0"/>
          <w:sz w:val="32"/>
          <w:szCs w:val="32"/>
          <w:u w:val="none"/>
          <w:shd w:val="clear" w:fill="FFFFFF"/>
        </w:rPr>
        <w:fldChar w:fldCharType="end"/>
      </w:r>
      <w:r>
        <w:rPr>
          <w:rStyle w:val="6"/>
          <w:rFonts w:hint="eastAsia" w:ascii="仿宋_GB2312" w:hAnsi="仿宋_GB2312" w:eastAsia="仿宋_GB2312" w:cs="仿宋_GB2312"/>
          <w:b w:val="0"/>
          <w:bCs/>
          <w:i w:val="0"/>
          <w:iCs w:val="0"/>
          <w:caps w:val="0"/>
          <w:color w:val="auto"/>
          <w:spacing w:val="0"/>
          <w:sz w:val="32"/>
          <w:szCs w:val="32"/>
          <w:shd w:val="clear" w:fill="FFFFFF"/>
        </w:rPr>
        <w:t>）(以下称《增值税暂行条例》)缴纳增值税的纳税人]有关政策</w:t>
      </w:r>
    </w:p>
    <w:p>
      <w:pPr>
        <w:pStyle w:val="3"/>
        <w:keepNext w:val="0"/>
        <w:keepLines w:val="0"/>
        <w:pageBreakBefore w:val="0"/>
        <w:widowControl/>
        <w:numPr>
          <w:ilvl w:val="0"/>
          <w:numId w:val="3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进项税额。</w:t>
      </w:r>
    </w:p>
    <w:p>
      <w:pPr>
        <w:pStyle w:val="3"/>
        <w:keepNext w:val="0"/>
        <w:keepLines w:val="0"/>
        <w:pageBreakBefore w:val="0"/>
        <w:widowControl/>
        <w:numPr>
          <w:ilvl w:val="0"/>
          <w:numId w:val="3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原增值税一般纳税人购进服务、无形资产或者不动产，取得的增值税专用发票上注明的增值税额为进项税额，准予从销项税额中抵扣。</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2016年5月1日后取得并在会计制度上按固定资产核算的不动产或者2016年5月1日后取得的不动产在建工程，其进项税额应自取得之日起分2年从销项税额中抵扣，第一年抵扣比例为60%，第二年抵扣比例为40%。</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融资租入的不动产以及在施工现场修建的临时建筑物、构筑物，其进项税额不适用上述分2年抵扣的规定。</w:t>
      </w:r>
    </w:p>
    <w:p>
      <w:pPr>
        <w:pStyle w:val="3"/>
        <w:keepNext w:val="0"/>
        <w:keepLines w:val="0"/>
        <w:pageBreakBefore w:val="0"/>
        <w:widowControl/>
        <w:numPr>
          <w:ilvl w:val="0"/>
          <w:numId w:val="3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原增值税一般纳税人自用的应征消费税的摩托车、汽车、游艇，其进项税额准予从销项税额中抵扣。</w:t>
      </w:r>
    </w:p>
    <w:p>
      <w:pPr>
        <w:pStyle w:val="3"/>
        <w:keepNext w:val="0"/>
        <w:keepLines w:val="0"/>
        <w:pageBreakBefore w:val="0"/>
        <w:widowControl/>
        <w:numPr>
          <w:ilvl w:val="0"/>
          <w:numId w:val="3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原增值税一般纳税人从境外单位或者个人购进服务、无形资产或者不动产，按照规定应当扣缴增值税的，准予从销项税额中抵扣的进项税额为自税务机关或者扣缴义务人取得的解缴税款的完税凭证上注明的增值税额。</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纳税人凭完税凭证抵扣进项税额的，应当具备书面合同、付款证明和境外单位的对账单或者发票。资料不全的，其进项税额不得从销项税额中抵扣。</w:t>
      </w:r>
    </w:p>
    <w:p>
      <w:pPr>
        <w:pStyle w:val="3"/>
        <w:keepNext w:val="0"/>
        <w:keepLines w:val="0"/>
        <w:pageBreakBefore w:val="0"/>
        <w:widowControl/>
        <w:numPr>
          <w:ilvl w:val="0"/>
          <w:numId w:val="3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原增值税一般纳税人购进货物或者接受加工修理修配劳务，用于《</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"https://www.waizi.org.cn/law/9777.html" \o "《销售服务、无形资产、不动产注释》2016年版全文"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销售服务、无形资产、不动产注释</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》所列项目的，不属于《增值税暂行条例》第十条所称的用于非增值税应税项目，其进项税额准予从销项税额中抵扣。</w:t>
      </w:r>
    </w:p>
    <w:p>
      <w:pPr>
        <w:pStyle w:val="3"/>
        <w:keepNext w:val="0"/>
        <w:keepLines w:val="0"/>
        <w:pageBreakBefore w:val="0"/>
        <w:widowControl/>
        <w:numPr>
          <w:ilvl w:val="0"/>
          <w:numId w:val="3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原增值税一般纳税人购进服务、无形资产或者不动产，下列项目的进项税额不得从销项税额中抵扣：</w:t>
      </w:r>
    </w:p>
    <w:p>
      <w:pPr>
        <w:pStyle w:val="3"/>
        <w:keepNext w:val="0"/>
        <w:keepLines w:val="0"/>
        <w:pageBreakBefore w:val="0"/>
        <w:widowControl/>
        <w:numPr>
          <w:ilvl w:val="0"/>
          <w:numId w:val="3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用于简易计税方法计税项目、免征增值税项目、集体福利或者个人消费。其中涉及的无形资产、不动产，仅指专用于上述项目的无形资产（不包括其他权益性无形资产）、不动产。</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纳税人的交际应酬消费属于个人消费。</w:t>
      </w:r>
    </w:p>
    <w:p>
      <w:pPr>
        <w:pStyle w:val="3"/>
        <w:keepNext w:val="0"/>
        <w:keepLines w:val="0"/>
        <w:pageBreakBefore w:val="0"/>
        <w:widowControl/>
        <w:numPr>
          <w:ilvl w:val="0"/>
          <w:numId w:val="3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非正常损失的购进货物，以及相关的加工修理修配劳务和交通运输服务。</w:t>
      </w:r>
    </w:p>
    <w:p>
      <w:pPr>
        <w:pStyle w:val="3"/>
        <w:keepNext w:val="0"/>
        <w:keepLines w:val="0"/>
        <w:pageBreakBefore w:val="0"/>
        <w:widowControl/>
        <w:numPr>
          <w:ilvl w:val="0"/>
          <w:numId w:val="3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非正常损失的在产品、产成品所耗用的购进货物（不包括固定资产）、加工修理修配劳务和交通运输服务。</w:t>
      </w:r>
    </w:p>
    <w:p>
      <w:pPr>
        <w:pStyle w:val="3"/>
        <w:keepNext w:val="0"/>
        <w:keepLines w:val="0"/>
        <w:pageBreakBefore w:val="0"/>
        <w:widowControl/>
        <w:numPr>
          <w:ilvl w:val="0"/>
          <w:numId w:val="3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非正常损失的不动产，以及该不动产所耗用的购进货物、设计服务和建筑服务。</w:t>
      </w:r>
    </w:p>
    <w:p>
      <w:pPr>
        <w:pStyle w:val="3"/>
        <w:keepNext w:val="0"/>
        <w:keepLines w:val="0"/>
        <w:pageBreakBefore w:val="0"/>
        <w:widowControl/>
        <w:numPr>
          <w:ilvl w:val="0"/>
          <w:numId w:val="3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非正常损失的不动产在建工程所耗用的购进货物、设计服务和建筑服务。</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纳税人新建、改建、扩建、修缮、装饰不动产，均属于不动产在建工程。</w:t>
      </w:r>
    </w:p>
    <w:p>
      <w:pPr>
        <w:pStyle w:val="3"/>
        <w:keepNext w:val="0"/>
        <w:keepLines w:val="0"/>
        <w:pageBreakBefore w:val="0"/>
        <w:widowControl/>
        <w:numPr>
          <w:ilvl w:val="0"/>
          <w:numId w:val="3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购进的旅客运输服务、贷款服务、餐饮服务、居民日常服务和娱乐服务。</w:t>
      </w:r>
    </w:p>
    <w:p>
      <w:pPr>
        <w:pStyle w:val="3"/>
        <w:keepNext w:val="0"/>
        <w:keepLines w:val="0"/>
        <w:pageBreakBefore w:val="0"/>
        <w:widowControl/>
        <w:numPr>
          <w:ilvl w:val="0"/>
          <w:numId w:val="3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财政部和国家税务总局规定的其他情形。</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上述第（4）点、第（5）点所称货物，是指构成不动产实体的材料和设备，包括建筑装饰材料和给排水、采暖、卫生、通风、照明、通讯、煤气、消防、中央空调、电梯、电气、智能化楼宇设备及配套设施。</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纳税人接受贷款服务向贷款方支付的与该笔贷款直接相关的投融资顾问费、手续费、咨询费等费用，其进项税额不得从销项税额中抵扣。</w:t>
      </w:r>
    </w:p>
    <w:p>
      <w:pPr>
        <w:pStyle w:val="3"/>
        <w:keepNext w:val="0"/>
        <w:keepLines w:val="0"/>
        <w:pageBreakBefore w:val="0"/>
        <w:widowControl/>
        <w:numPr>
          <w:ilvl w:val="0"/>
          <w:numId w:val="3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已抵扣进项税额的购进服务，发生上述第5点规定情形（简易计税方法计税项目、免征增值税项目除外）的，应当将该进项税额从当期进项税额中扣减；无法确定该进项税额的，按照当期实际成本计算应扣减的进项税额。</w:t>
      </w:r>
    </w:p>
    <w:p>
      <w:pPr>
        <w:pStyle w:val="3"/>
        <w:keepNext w:val="0"/>
        <w:keepLines w:val="0"/>
        <w:pageBreakBefore w:val="0"/>
        <w:widowControl/>
        <w:numPr>
          <w:ilvl w:val="0"/>
          <w:numId w:val="3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已抵扣进项税额的无形资产或者不动产，发生上述第5点规定情形的，按照下列公式计算不得抵扣的进项税额：</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不得抵扣的进项税额=无形资产或者不动产净值×适用税率</w:t>
      </w:r>
    </w:p>
    <w:p>
      <w:pPr>
        <w:pStyle w:val="3"/>
        <w:keepNext w:val="0"/>
        <w:keepLines w:val="0"/>
        <w:pageBreakBefore w:val="0"/>
        <w:widowControl/>
        <w:numPr>
          <w:ilvl w:val="0"/>
          <w:numId w:val="3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照《增值税暂行条例》第十条和上述第5点不得抵扣且未抵扣进项税额的固定资产、无形资产、不动产，发生用途改变，用于允许抵扣进项税额的应税项目，可在用途改变的次月按照下列公式，依据合法有效的增值税扣税凭证，计算可以抵扣的进项税额：可以抵扣的进项税额=固定资产、无形资产、不动产净值/（1+适用税率）×适用税率</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上述可以抵扣的进项税额应取得合法有效的增值税扣税凭证。</w:t>
      </w:r>
    </w:p>
    <w:p>
      <w:pPr>
        <w:pStyle w:val="3"/>
        <w:keepNext w:val="0"/>
        <w:keepLines w:val="0"/>
        <w:pageBreakBefore w:val="0"/>
        <w:widowControl/>
        <w:numPr>
          <w:ilvl w:val="0"/>
          <w:numId w:val="3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增值税期末留抵税额。</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原增值税一般纳税人兼有销售服务、无形资产或者不动产的，截止到纳入营改增试点之日前的增值税期末留抵税额，不得从销售服务、无形资产或者不动产的销项税额中抵扣。</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楷体_GB2312" w:hAnsi="楷体_GB2312" w:eastAsia="楷体_GB2312" w:cs="楷体_GB2312"/>
          <w:i w:val="0"/>
          <w:iCs w:val="0"/>
          <w:caps w:val="0"/>
          <w:color w:val="auto"/>
          <w:spacing w:val="0"/>
          <w:sz w:val="32"/>
          <w:szCs w:val="32"/>
          <w:shd w:val="clear" w:fill="FFFFFF"/>
        </w:rPr>
        <w:t>（三）混合销售。</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项销售行为如果既涉及货物又涉及服务，为混合销售。从事货物的生产、批发或者零售的单位和个体工商户的混合销售行为，按照销售货物缴纳增值税；其他单位和个体工商户的混合销售行为，按照销售服务缴纳增值税。</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上述从事货物的生产、批发或者零售的单位和个体工商户，包括以从事货物的生产、批发或者零售为主，并兼营销售服务的单位和个体工商户在内。</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黑体" w:hAnsi="黑体" w:eastAsia="黑体" w:cs="黑体"/>
          <w:i w:val="0"/>
          <w:iCs w:val="0"/>
          <w:caps w:val="0"/>
          <w:color w:val="auto"/>
          <w:spacing w:val="0"/>
          <w:sz w:val="32"/>
          <w:szCs w:val="32"/>
          <w:shd w:val="clear" w:fill="FFFFFF"/>
          <w:lang w:val="en-US" w:eastAsia="zh-CN"/>
        </w:rPr>
      </w:pPr>
      <w:r>
        <w:rPr>
          <w:rFonts w:hint="eastAsia" w:ascii="黑体" w:hAnsi="黑体" w:eastAsia="黑体" w:cs="黑体"/>
          <w:i w:val="0"/>
          <w:iCs w:val="0"/>
          <w:caps w:val="0"/>
          <w:color w:val="auto"/>
          <w:spacing w:val="0"/>
          <w:sz w:val="32"/>
          <w:szCs w:val="32"/>
          <w:shd w:val="clear" w:fill="FFFFFF"/>
          <w:lang w:val="en-US" w:eastAsia="zh-CN"/>
        </w:rPr>
        <w:t>附件3</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center"/>
        <w:textAlignment w:val="auto"/>
        <w:rPr>
          <w:rFonts w:hint="eastAsia" w:ascii="方正小标宋简体" w:hAnsi="方正小标宋简体" w:eastAsia="方正小标宋简体" w:cs="方正小标宋简体"/>
          <w:i w:val="0"/>
          <w:iCs w:val="0"/>
          <w:caps w:val="0"/>
          <w:color w:val="auto"/>
          <w:spacing w:val="0"/>
          <w:sz w:val="32"/>
          <w:szCs w:val="32"/>
          <w:shd w:val="clear" w:fill="FFFFFF"/>
        </w:rPr>
      </w:pPr>
      <w:r>
        <w:rPr>
          <w:rFonts w:hint="eastAsia" w:ascii="方正小标宋简体" w:hAnsi="方正小标宋简体" w:eastAsia="方正小标宋简体" w:cs="方正小标宋简体"/>
          <w:i w:val="0"/>
          <w:iCs w:val="0"/>
          <w:caps w:val="0"/>
          <w:color w:val="auto"/>
          <w:spacing w:val="0"/>
          <w:sz w:val="32"/>
          <w:szCs w:val="32"/>
          <w:shd w:val="clear" w:fill="FFFFFF"/>
        </w:rPr>
        <w:fldChar w:fldCharType="begin"/>
      </w:r>
      <w:r>
        <w:rPr>
          <w:rFonts w:hint="eastAsia" w:ascii="方正小标宋简体" w:hAnsi="方正小标宋简体" w:eastAsia="方正小标宋简体" w:cs="方正小标宋简体"/>
          <w:i w:val="0"/>
          <w:iCs w:val="0"/>
          <w:caps w:val="0"/>
          <w:color w:val="auto"/>
          <w:spacing w:val="0"/>
          <w:sz w:val="32"/>
          <w:szCs w:val="32"/>
          <w:shd w:val="clear" w:fill="FFFFFF"/>
        </w:rPr>
        <w:instrText xml:space="preserve"> HYPERLINK "http://www.chinatax.gov.cn/n810341/n810755/c2043931/5127107/files/159e97c64ae641f2b44aa596e7a91c83.docx" </w:instrText>
      </w:r>
      <w:r>
        <w:rPr>
          <w:rFonts w:hint="eastAsia" w:ascii="方正小标宋简体" w:hAnsi="方正小标宋简体" w:eastAsia="方正小标宋简体" w:cs="方正小标宋简体"/>
          <w:i w:val="0"/>
          <w:iCs w:val="0"/>
          <w:caps w:val="0"/>
          <w:color w:val="auto"/>
          <w:spacing w:val="0"/>
          <w:sz w:val="32"/>
          <w:szCs w:val="32"/>
          <w:shd w:val="clear" w:fill="FFFFFF"/>
        </w:rPr>
        <w:fldChar w:fldCharType="separate"/>
      </w:r>
      <w:r>
        <w:rPr>
          <w:rFonts w:hint="eastAsia" w:ascii="方正小标宋简体" w:hAnsi="方正小标宋简体" w:eastAsia="方正小标宋简体" w:cs="方正小标宋简体"/>
          <w:i w:val="0"/>
          <w:iCs w:val="0"/>
          <w:caps w:val="0"/>
          <w:color w:val="auto"/>
          <w:spacing w:val="0"/>
          <w:sz w:val="32"/>
          <w:szCs w:val="32"/>
          <w:shd w:val="clear" w:fill="FFFFFF"/>
        </w:rPr>
        <w:fldChar w:fldCharType="end"/>
      </w:r>
      <w:r>
        <w:rPr>
          <w:rFonts w:hint="eastAsia" w:ascii="方正小标宋简体" w:hAnsi="方正小标宋简体" w:eastAsia="方正小标宋简体" w:cs="方正小标宋简体"/>
          <w:i w:val="0"/>
          <w:iCs w:val="0"/>
          <w:caps w:val="0"/>
          <w:color w:val="auto"/>
          <w:spacing w:val="0"/>
          <w:sz w:val="32"/>
          <w:szCs w:val="32"/>
          <w:shd w:val="clear" w:fill="FFFFFF"/>
        </w:rPr>
        <w:fldChar w:fldCharType="begin"/>
      </w:r>
      <w:r>
        <w:rPr>
          <w:rFonts w:hint="eastAsia" w:ascii="方正小标宋简体" w:hAnsi="方正小标宋简体" w:eastAsia="方正小标宋简体" w:cs="方正小标宋简体"/>
          <w:i w:val="0"/>
          <w:iCs w:val="0"/>
          <w:caps w:val="0"/>
          <w:color w:val="auto"/>
          <w:spacing w:val="0"/>
          <w:sz w:val="32"/>
          <w:szCs w:val="32"/>
          <w:shd w:val="clear" w:fill="FFFFFF"/>
        </w:rPr>
        <w:instrText xml:space="preserve"> HYPERLINK "http://www.chinatax.gov.cn/n810341/n810755/c2043931/5127107/files/d80743ca579e4a5ca23254f7fc6506a6.doc" \t "http://www.chinatax.gov.cn/n810341/n810755/c2043931/_blank" </w:instrText>
      </w:r>
      <w:r>
        <w:rPr>
          <w:rFonts w:hint="eastAsia" w:ascii="方正小标宋简体" w:hAnsi="方正小标宋简体" w:eastAsia="方正小标宋简体" w:cs="方正小标宋简体"/>
          <w:i w:val="0"/>
          <w:iCs w:val="0"/>
          <w:caps w:val="0"/>
          <w:color w:val="auto"/>
          <w:spacing w:val="0"/>
          <w:sz w:val="32"/>
          <w:szCs w:val="32"/>
          <w:shd w:val="clear" w:fill="FFFFFF"/>
        </w:rPr>
        <w:fldChar w:fldCharType="separate"/>
      </w:r>
      <w:r>
        <w:rPr>
          <w:rFonts w:hint="eastAsia" w:ascii="方正小标宋简体" w:hAnsi="方正小标宋简体" w:eastAsia="方正小标宋简体" w:cs="方正小标宋简体"/>
          <w:i w:val="0"/>
          <w:iCs w:val="0"/>
          <w:caps w:val="0"/>
          <w:color w:val="auto"/>
          <w:spacing w:val="0"/>
          <w:sz w:val="32"/>
          <w:szCs w:val="32"/>
          <w:shd w:val="clear" w:fill="FFFFFF"/>
        </w:rPr>
        <w:t>营业税改征增值税试点过渡政策的规定</w:t>
      </w:r>
      <w:r>
        <w:rPr>
          <w:rFonts w:hint="eastAsia" w:ascii="方正小标宋简体" w:hAnsi="方正小标宋简体" w:eastAsia="方正小标宋简体" w:cs="方正小标宋简体"/>
          <w:i w:val="0"/>
          <w:iCs w:val="0"/>
          <w:caps w:val="0"/>
          <w:color w:val="auto"/>
          <w:spacing w:val="0"/>
          <w:sz w:val="32"/>
          <w:szCs w:val="32"/>
          <w:shd w:val="clear" w:fill="FFFFFF"/>
        </w:rPr>
        <w:fldChar w:fldCharType="end"/>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center"/>
        <w:textAlignment w:val="auto"/>
        <w:rPr>
          <w:rFonts w:hint="eastAsia" w:ascii="方正小标宋简体" w:hAnsi="方正小标宋简体" w:eastAsia="方正小标宋简体" w:cs="方正小标宋简体"/>
          <w:i w:val="0"/>
          <w:iCs w:val="0"/>
          <w:caps w:val="0"/>
          <w:color w:val="auto"/>
          <w:spacing w:val="0"/>
          <w:sz w:val="32"/>
          <w:szCs w:val="32"/>
          <w:shd w:val="clear" w:fill="FFFFFF"/>
        </w:rPr>
      </w:pPr>
    </w:p>
    <w:p>
      <w:pPr>
        <w:pStyle w:val="3"/>
        <w:keepNext w:val="0"/>
        <w:keepLines w:val="0"/>
        <w:pageBreakBefore w:val="0"/>
        <w:widowControl/>
        <w:numPr>
          <w:ilvl w:val="0"/>
          <w:numId w:val="3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黑体" w:hAnsi="黑体" w:eastAsia="黑体" w:cs="黑体"/>
          <w:b w:val="0"/>
          <w:bCs w:val="0"/>
          <w:i w:val="0"/>
          <w:iCs w:val="0"/>
          <w:caps w:val="0"/>
          <w:color w:val="auto"/>
          <w:spacing w:val="0"/>
          <w:sz w:val="32"/>
          <w:szCs w:val="32"/>
          <w:shd w:val="clear" w:fill="FFFFFF"/>
        </w:rPr>
        <w:t>下列项目免征增值税</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托儿所、幼儿园提供的保育和教育服务。</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托儿所、幼儿园，是指经县级以上教育部门审批成立、取得办园许可证的实施0-6岁学前教育的机构，包括公办和民办的托儿所、幼儿园、学前班、幼儿班、保育院、幼儿院。公办托儿所、幼儿园免征增值税的收入是指，在省级财政部门和价格主管部门审核报省级人民政府批准的收费标准以内收取的教育费、保育费。</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民办托儿所、幼儿园免征增值税的收入是指，在报经当地有关部门备案并公示的收费标准范围内收取的教育费、保育费</w:t>
      </w:r>
      <w:r>
        <w:rPr>
          <w:rFonts w:hint="eastAsia" w:ascii="仿宋_GB2312" w:hAnsi="仿宋_GB2312" w:eastAsia="仿宋_GB2312" w:cs="仿宋_GB2312"/>
          <w:i w:val="0"/>
          <w:iCs w:val="0"/>
          <w:caps w:val="0"/>
          <w:color w:val="auto"/>
          <w:spacing w:val="0"/>
          <w:sz w:val="32"/>
          <w:szCs w:val="32"/>
          <w:shd w:val="clear" w:fill="FFFFFF"/>
          <w:lang w:eastAsia="zh-CN"/>
        </w:rPr>
        <w:t>。</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超过规定收费标准的收费，以开办实验班、特色班和兴趣班等为由另外收取的费用以及与幼儿入园挂钩的赞助费、支教费等超过规定范围的收入，不属于免征增值税的收入。</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养老机构提供的养老服务。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养老机构，是指依照民政部《</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"https://www.waizi.org.cn/law/9781.html" \o "《养老机构设立许可办法》民政部令第48号（全文）"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养老机构设立许可办法</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"https://www.waizi.org.cn/law/9781.html" \o "《养老机构设立许可办法》民政部令第48号（全文）"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民政部令第48号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）设立并依法办理登记的为老年人提供集中居住和照料服务的各类养老机构；养老服务，是指上述养老机构按照民政部《</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"https://www.waizi.org.cn/doc/92118.html" \o "《养老机构管理办法》民政部令第66号（2020年版全文）"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养老机构管理办法</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"https://www.waizi.org.cn/law/9782.html" \o "《养老机构管理办法》民政部令第49号（全文）"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民政部令第49号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）的规定，为收住的老年人提供的生活照料、康复护理、精神慰藉、文化娱乐等服务。</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残疾人福利机构提供的育养服务。</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婚姻介绍服务。</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殡葬服务。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殡葬服务，是指收费标准由各地价格主管部门会同有关部门核定，或者实行政府指导价管理的遗体接运（含抬尸、消毒）、遗体整容、遗体防腐、存放（含冷藏）、火化、骨灰寄存、吊唁设施设备租赁、墓穴租赁及管理等服务。</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残疾人员本人为社会提供的服务。</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医疗机构提供的医疗服务。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医疗机构，是指依据国务院《</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"https://www.waizi.org.cn/law/9883.html" \o "《医疗机构管理条例》2016年修订版全文（国务院令第666号修正）"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医疗机构管理条例</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"https://www.waizi.org.cn/law/4757.html" \o "《医疗机构管理条例》国务院令第149号（全文）"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国务院令第149号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）及卫生部《</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"https://www.waizi.org.cn/law/17654.html" \o "《医疗机构管理条例实施细则》2017年修订版（全文）"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医疗机构管理条例实施细则</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"https://www.waizi.org.cn/law/9787.html" \o "《医疗机构管理条例实施细则》卫生部令第35号（全文）"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卫生部令第35号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的规定，经登记取得《医疗机构执业许可证》的机构，以及军队、武警部队各级各类医疗机构。具体包括:各级各类医院、门诊部(所)、社区卫生服务中心(站)、急救中心(站)、城乡卫生院、护理院(所)、疗养院、临床检验中心，各级政府及有关部门举办的卫生防疫站(疾病控制中心)、各种专科疾病防治站(所)，各级政府举办的妇幼保健所(站)、母婴保健机构、儿童保健机构，各级政府举办的血站(血液中心)等医疗机构。</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本项所称的医疗服务，是指医疗机构按照不高于地（市）级以上价格主管部门会同同级卫生主管部门及其他相关部门制定的医疗服务指导价格（包括政府指导价和按照规定由供需双方协商确定的价格等）为就医者提供《</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"https://www.waizi.org.cn/law/9761.html" \o "发改价格〔2012〕1170号《国家发展改革委卫生部国家中医药管理局关于规范医疗服务价格管理及有关问题的通知》"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全国医疗服务价格项目规范</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》所列的各项服务，以及医疗机构向社会提供卫生防疫、卫生检疫的服务。</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从事学历教育的学校提供的教育服务。</w:t>
      </w:r>
    </w:p>
    <w:p>
      <w:pPr>
        <w:pStyle w:val="3"/>
        <w:keepNext w:val="0"/>
        <w:keepLines w:val="0"/>
        <w:pageBreakBefore w:val="0"/>
        <w:widowControl/>
        <w:numPr>
          <w:ilvl w:val="0"/>
          <w:numId w:val="3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学历教育，是指受教育者经过国家教育考试或者国家规定的其他入学方式，进入国家有关部门批准的学校或者其他教育机构学习，获得国家承认的学历证书的教育形式。具体包括：</w:t>
      </w:r>
    </w:p>
    <w:p>
      <w:pPr>
        <w:pStyle w:val="3"/>
        <w:keepNext w:val="0"/>
        <w:keepLines w:val="0"/>
        <w:pageBreakBefore w:val="0"/>
        <w:widowControl/>
        <w:numPr>
          <w:ilvl w:val="0"/>
          <w:numId w:val="3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初等教育：普通小学、成人小学。</w:t>
      </w:r>
    </w:p>
    <w:p>
      <w:pPr>
        <w:pStyle w:val="3"/>
        <w:keepNext w:val="0"/>
        <w:keepLines w:val="0"/>
        <w:pageBreakBefore w:val="0"/>
        <w:widowControl/>
        <w:numPr>
          <w:ilvl w:val="0"/>
          <w:numId w:val="3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初级中等教育：普通初中、职业初中、成人初中。</w:t>
      </w:r>
    </w:p>
    <w:p>
      <w:pPr>
        <w:pStyle w:val="3"/>
        <w:keepNext w:val="0"/>
        <w:keepLines w:val="0"/>
        <w:pageBreakBefore w:val="0"/>
        <w:widowControl/>
        <w:numPr>
          <w:ilvl w:val="0"/>
          <w:numId w:val="3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高级中等教育：普通高中、成人高中和中等职业学校（包括普通中专、成人中专、职业高中、技工学校）。</w:t>
      </w:r>
    </w:p>
    <w:p>
      <w:pPr>
        <w:pStyle w:val="3"/>
        <w:keepNext w:val="0"/>
        <w:keepLines w:val="0"/>
        <w:pageBreakBefore w:val="0"/>
        <w:widowControl/>
        <w:numPr>
          <w:ilvl w:val="0"/>
          <w:numId w:val="3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高等教育：普通本专科、成人本专科、网络本专科、研究生（博士、硕士）、高等教育自学考试、高等教育学历文凭考试。</w:t>
      </w:r>
    </w:p>
    <w:p>
      <w:pPr>
        <w:pStyle w:val="3"/>
        <w:keepNext w:val="0"/>
        <w:keepLines w:val="0"/>
        <w:pageBreakBefore w:val="0"/>
        <w:widowControl/>
        <w:numPr>
          <w:ilvl w:val="0"/>
          <w:numId w:val="3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从事学历教育的学校，是指：</w:t>
      </w:r>
    </w:p>
    <w:p>
      <w:pPr>
        <w:pStyle w:val="3"/>
        <w:keepNext w:val="0"/>
        <w:keepLines w:val="0"/>
        <w:pageBreakBefore w:val="0"/>
        <w:widowControl/>
        <w:numPr>
          <w:ilvl w:val="0"/>
          <w:numId w:val="3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普通学校。</w:t>
      </w:r>
    </w:p>
    <w:p>
      <w:pPr>
        <w:pStyle w:val="3"/>
        <w:keepNext w:val="0"/>
        <w:keepLines w:val="0"/>
        <w:pageBreakBefore w:val="0"/>
        <w:widowControl/>
        <w:numPr>
          <w:ilvl w:val="0"/>
          <w:numId w:val="3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经地(市)级以上人民政府或者同级政府的教育行政部门批准成立、国家承认其学员学历的各类学校。</w:t>
      </w:r>
    </w:p>
    <w:p>
      <w:pPr>
        <w:pStyle w:val="3"/>
        <w:keepNext w:val="0"/>
        <w:keepLines w:val="0"/>
        <w:pageBreakBefore w:val="0"/>
        <w:widowControl/>
        <w:numPr>
          <w:ilvl w:val="0"/>
          <w:numId w:val="3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经省级及以上人力资源社会保障行政部门批准成立的技工学校、高级技工学校。</w:t>
      </w:r>
    </w:p>
    <w:p>
      <w:pPr>
        <w:pStyle w:val="3"/>
        <w:keepNext w:val="0"/>
        <w:keepLines w:val="0"/>
        <w:pageBreakBefore w:val="0"/>
        <w:widowControl/>
        <w:numPr>
          <w:ilvl w:val="0"/>
          <w:numId w:val="3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经省级人民政府批准成立的技师学院。</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上述学校均包括符合规定的从事学历教育的民办学校，但不包括职业培训机构等国家不承认学历的教育机构。</w:t>
      </w:r>
    </w:p>
    <w:p>
      <w:pPr>
        <w:pStyle w:val="3"/>
        <w:keepNext w:val="0"/>
        <w:keepLines w:val="0"/>
        <w:pageBreakBefore w:val="0"/>
        <w:widowControl/>
        <w:numPr>
          <w:ilvl w:val="0"/>
          <w:numId w:val="3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提供教育服务免征增值税的收入，是指对列入规定招生计划的在籍学生提供学历教育服务取得的收入，具体包括：经有关部门审核批准并按规定标准收取的学费、住宿费、课本费、作业本费、考试报名费收入，以及学校食堂提供餐饮服务取得的伙食费收入。除此之外的收入，包括学校以各种名义收取的赞助费、择校费等，不属于免征增值税的范围</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学校食堂是指依照《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"https://www.waizi.org.cn/law/8500.html" \o "《学校食堂与学生集体用餐卫生管理规定》教育部、卫生部令第14号（全文）"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学校食堂与学生集体用餐卫生管理规定</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"https://www.waizi.org.cn/law/8500.html" \o "《学校食堂与学生集体用餐卫生管理规定》教育部、卫生部令第14号（全文）"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教育部、卫生部令第14号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）管理的学校食堂。</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学生勤工俭学提供的服务。</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农业机耕、排灌、病虫害防治、植物保护、农牧保险以及相关技术培训业务，家禽、牲畜、水生动物的配种和疾病防治。</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农业机耕，是指在农业、林业、牧业中使用农业机械进行耕作(包括耕耘、种植、收割、脱粒、植物保护等)的业务；排灌，是指对农田进行灌溉或者排涝的业务；病虫害防治，是指从事农业、林业、牧业、渔业的病虫害测报和防治的业务；农牧保险，是指为种植业、养殖业、牧业种植和饲养的动植物提供保险的业务；相关技术培训，是指与农业机耕、排灌、病虫害防治、植物保护业务相关以及为使农民获得农牧保险知识的技术培训业务；家禽、牲畜、水生动物的配种和疾病防治业务的免税范围，包括与该项服务有关的提供药品和医疗用具的业务。</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纪念馆、博物馆、文化馆、文物保护单位管理机构、美术馆、展览馆、书画院、图书馆在自己的场所提供文化体育服务取得的第一道门票收入。</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寺院、宫观、清真寺和教堂举办文化、宗教活动的门票收入。</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行政单位之外的其他单位收取的符合《</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"https://www.waizi.org.cn/shuishounews/9779.html" \o "《营业税改征增值税试点实施办法》全文（财税〔2016〕36号附件1）"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营业税改征增值税试点实施办法</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》第十条规定条件的政府性基金和行政事业性收费。</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个人转让著作权。</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个人销售自建自用住房。</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2018年12月31日前，公共租赁住房经营管理单位出租公共租赁住房。</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公共租赁住房，是指纳入省、自治区、直辖市、计划单列市人民政府及新疆生产建设兵团批准的公共租赁住房发展规划和年度计划，并按照《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"https://www.waizi.org.cn/law/8522.html" \o "建保〔2010〕87号《关于加快发展公共租赁住房的指导意见》"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关于加快发展公共租赁住房的指导意见</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"https://www.waizi.org.cn/law/8522.html" \o "建保〔2010〕87号《关于加快发展公共租赁住房的指导意见》"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建保〔2010〕87号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）和市、县人民政府制定的具体管理办法进行管理的公共租赁住房。</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台湾航运公司、航空公司从事海峡两岸海上直航、空中直航业务在大陆取得的运输收入。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台湾航运公司，是指取得交通运输部颁发的“台湾海峡两岸间水路运输许可证”且该许可证上注明的公司登记地址在台湾的航运公司。</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台湾航空公司，是指取得中国民用航空局颁发的“经营许可”或者依据《</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"https://www.waizi.org.cn/law/6847.html" \o "《海峡两岸空运协议》全文"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海峡两岸空运协议</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》和《</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"https://www.waizi.org.cn/law/6848.html" \o "《海峡两岸空运补充协议》全文"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海峡两岸空运补充协议</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》规定，批准经营两岸旅客、货物和邮件不定期（包机）运输业务，且公司登记地址在台湾的航空公司。</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纳税人提供的直接或者间接国际货物运输代理服务。</w:t>
      </w:r>
    </w:p>
    <w:p>
      <w:pPr>
        <w:pStyle w:val="3"/>
        <w:keepNext w:val="0"/>
        <w:keepLines w:val="0"/>
        <w:pageBreakBefore w:val="0"/>
        <w:widowControl/>
        <w:numPr>
          <w:ilvl w:val="0"/>
          <w:numId w:val="3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纳税人提供直接或者间接国际货物运输代理服务，向委托方收取的全部国际货物运输代理服务收入，以及向国际运输承运人支付的国际运输费用，必须通过金融机构进行结算。</w:t>
      </w:r>
    </w:p>
    <w:p>
      <w:pPr>
        <w:pStyle w:val="3"/>
        <w:keepNext w:val="0"/>
        <w:keepLines w:val="0"/>
        <w:pageBreakBefore w:val="0"/>
        <w:widowControl/>
        <w:numPr>
          <w:ilvl w:val="0"/>
          <w:numId w:val="3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纳税人为大陆与香港、澳门、台湾地区之间的货物运输提供的货物运输代理服务参照国际货物运输代理服务有关规定执行。</w:t>
      </w:r>
    </w:p>
    <w:p>
      <w:pPr>
        <w:pStyle w:val="3"/>
        <w:keepNext w:val="0"/>
        <w:keepLines w:val="0"/>
        <w:pageBreakBefore w:val="0"/>
        <w:widowControl/>
        <w:numPr>
          <w:ilvl w:val="0"/>
          <w:numId w:val="3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委托方索取发票的，纳税人应当就国际货物运输代理服务收入向委托方全额开具增值税普通发票。</w:t>
      </w:r>
    </w:p>
    <w:p>
      <w:pPr>
        <w:pStyle w:val="3"/>
        <w:keepNext w:val="0"/>
        <w:keepLines w:val="0"/>
        <w:pageBreakBefore w:val="0"/>
        <w:widowControl/>
        <w:numPr>
          <w:ilvl w:val="0"/>
          <w:numId w:val="3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以下利息收入。</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1.2016年12月31日前，金融机构农户小额贷款。</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小额贷款，是指单笔且该农户贷款余额总额在10万元（含本数）以下的贷款。</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所称农户，是指长期（一年以上）居住在乡镇（不包括城关镇）行政管理区域内的住户，还包括长期居住在城关镇所辖行政村范围内的住户和户口不在本地而在本地居住一年以上的住户，国有农场的职工和农村个体工商户。位于乡镇（不包括城关镇）行政管理区域内和在城关镇所辖行政村范围内的国有经济的机关、团体、学校、企事业单位的集体户；有本地户口，但举家外出谋生一年以上的住户，无论是否保留承包耕地均不属于农户。农户以户为统计单位，既可以从事农业生产经营，也可以从事非农业生产经营。农户贷款的判定应以贷款发放时的承贷主体是否属于农户为准。</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val="en-US" w:eastAsia="zh-CN"/>
        </w:rPr>
        <w:t>2.</w:t>
      </w:r>
      <w:r>
        <w:rPr>
          <w:rFonts w:hint="eastAsia" w:ascii="仿宋_GB2312" w:hAnsi="仿宋_GB2312" w:eastAsia="仿宋_GB2312" w:cs="仿宋_GB2312"/>
          <w:i w:val="0"/>
          <w:iCs w:val="0"/>
          <w:caps w:val="0"/>
          <w:color w:val="auto"/>
          <w:spacing w:val="0"/>
          <w:sz w:val="32"/>
          <w:szCs w:val="32"/>
          <w:shd w:val="clear" w:fill="FFFFFF"/>
        </w:rPr>
        <w:t>国家助学贷款。</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val="en-US" w:eastAsia="zh-CN"/>
        </w:rPr>
        <w:t>3.</w:t>
      </w:r>
      <w:r>
        <w:rPr>
          <w:rFonts w:hint="eastAsia" w:ascii="仿宋_GB2312" w:hAnsi="仿宋_GB2312" w:eastAsia="仿宋_GB2312" w:cs="仿宋_GB2312"/>
          <w:i w:val="0"/>
          <w:iCs w:val="0"/>
          <w:caps w:val="0"/>
          <w:color w:val="auto"/>
          <w:spacing w:val="0"/>
          <w:sz w:val="32"/>
          <w:szCs w:val="32"/>
          <w:shd w:val="clear" w:fill="FFFFFF"/>
        </w:rPr>
        <w:t>国债、地方政府债。</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4.人民银行对金融机构的贷款。</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5.住房公积金管理中心用住房公积金在指定的委托银行发放的个人住房贷款。</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6.外汇管理部门在从事国家外汇储备经营过程中,委托金融机构发放的外汇贷款。</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7.统借统还业务中，企业集团或企业集团中的核心企业以及集团所属财务公司按不高于支付给金融机构的借款利率水平或者支付的债券票面利率水平，向企业集团或者集团内下属单位收取的利息。</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统借方向资金使用单位收取的利息，高于支付给金融机构借款利率水平或者支付的债券票面利率水平的，应全额缴纳增值税。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统借统还业务，是指：</w:t>
      </w:r>
    </w:p>
    <w:p>
      <w:pPr>
        <w:pStyle w:val="3"/>
        <w:keepNext w:val="0"/>
        <w:keepLines w:val="0"/>
        <w:pageBreakBefore w:val="0"/>
        <w:widowControl/>
        <w:numPr>
          <w:ilvl w:val="0"/>
          <w:numId w:val="3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企业集团或者企业集团中的核心企业向金融机构借款或对外发行债券取得资金后，将所借资金分拨给下属单位（包括独立核算单位和非独立核算单位，下同），并向下属单位收取用于归还金融机构或债券购买方本息的业务。</w:t>
      </w:r>
    </w:p>
    <w:p>
      <w:pPr>
        <w:pStyle w:val="3"/>
        <w:keepNext w:val="0"/>
        <w:keepLines w:val="0"/>
        <w:pageBreakBefore w:val="0"/>
        <w:widowControl/>
        <w:numPr>
          <w:ilvl w:val="0"/>
          <w:numId w:val="3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企业集团向金融机构借款或对外发行债券取得资金后，由集团所属财务公司与企业集团或者集团内下属单位签订统借统还贷款合同并分拨资金，并向企业集团或者集团内下属单位收取本息，再转付企业集团，由企业集团统一归还金融机构或债券购买方的业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（二十）被撤销金融机构以货物、不动产、无形资产、有价证券、票据等财产清偿债务。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被撤销金融机构，是指经人民银行、银监会依法决定撤销的金融机构及其分设于各地的分支机构，包括被依法撤销的商业银行、信托投资公司、财务公司、金融租赁公司、城市信用社和农村信用社。除另有规定外，被撤销金融机构所属、附属企业，不享受被撤销金融机构增值税免税政策。</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（二十一）保险公司开办的一年期以上人身保险产品取得的保费收入。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一年期以上人身保险，是指保险期间为一年期及以上返还本利的人寿保险、养老年金保险，以及保险期间为一年期及以上的健康保险。</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人寿保险，是指以人的寿命为保险标的的人身保险。</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养老年金保险，是指以养老保障为目的，以被保险人生存为给付保险金条件，并按约定的时间间隔分期给付生存保险金的人身保险。养老年金保险应当同时符合下列条件：</w:t>
      </w:r>
    </w:p>
    <w:p>
      <w:pPr>
        <w:pStyle w:val="3"/>
        <w:keepNext w:val="0"/>
        <w:keepLines w:val="0"/>
        <w:pageBreakBefore w:val="0"/>
        <w:widowControl/>
        <w:numPr>
          <w:ilvl w:val="0"/>
          <w:numId w:val="4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保险合同约定给付被保险人生存保险金的年龄不得小于国家规定的退休年龄。</w:t>
      </w:r>
    </w:p>
    <w:p>
      <w:pPr>
        <w:pStyle w:val="3"/>
        <w:keepNext w:val="0"/>
        <w:keepLines w:val="0"/>
        <w:pageBreakBefore w:val="0"/>
        <w:widowControl/>
        <w:numPr>
          <w:ilvl w:val="0"/>
          <w:numId w:val="4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相邻两次给付的时间间隔不得超过一年。</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健康保险，是指以因健康原因导致损失为给付保险金条件的人身保险。</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上述免税政策实行备案管理，具体备案管理办法按照《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"https://www.waizi.org.cn/shuishounews/6464.html" \o "《国家税务总局关于一年期以上返还性人身保险产品免征营业税审批事项取消后有关管理问题的公告》国家税务总局公告2015年第65号"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国家税务总局关于一年期以上返还性人身保险产品免征营业税审批事项取消后有关管理问题的公告</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"https://www.waizi.org.cn/shuishounews/6464.html" \o "《国家税务总局关于一年期以上返还性人身保险产品免征营业税审批事项取消后有关管理问题的公告》国家税务总局公告2015年第65号"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国家税务总局公告2015年第65号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）规定执行。</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（二十二）下列金融商品转让收入。</w:t>
      </w:r>
    </w:p>
    <w:p>
      <w:pPr>
        <w:pStyle w:val="3"/>
        <w:keepNext w:val="0"/>
        <w:keepLines w:val="0"/>
        <w:pageBreakBefore w:val="0"/>
        <w:widowControl/>
        <w:numPr>
          <w:ilvl w:val="0"/>
          <w:numId w:val="4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合格境外投资者（QFII）委托境内公司在我国从事证券买卖业务。</w:t>
      </w:r>
    </w:p>
    <w:p>
      <w:pPr>
        <w:pStyle w:val="3"/>
        <w:keepNext w:val="0"/>
        <w:keepLines w:val="0"/>
        <w:pageBreakBefore w:val="0"/>
        <w:widowControl/>
        <w:numPr>
          <w:ilvl w:val="0"/>
          <w:numId w:val="4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香港市场投资者（包括单位和个人）通过沪港通买卖上海证券交易所上市A股。</w:t>
      </w:r>
    </w:p>
    <w:p>
      <w:pPr>
        <w:pStyle w:val="3"/>
        <w:keepNext w:val="0"/>
        <w:keepLines w:val="0"/>
        <w:pageBreakBefore w:val="0"/>
        <w:widowControl/>
        <w:numPr>
          <w:ilvl w:val="0"/>
          <w:numId w:val="4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对香港市场投资者（包括单位和个人）通过基金互认买卖内地基金份额。</w:t>
      </w:r>
    </w:p>
    <w:p>
      <w:pPr>
        <w:pStyle w:val="3"/>
        <w:keepNext w:val="0"/>
        <w:keepLines w:val="0"/>
        <w:pageBreakBefore w:val="0"/>
        <w:widowControl/>
        <w:numPr>
          <w:ilvl w:val="0"/>
          <w:numId w:val="4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证券投资基金（封闭式证券投资基金，开放式证券投资基金）管理人运用基金买卖股票、债券。</w:t>
      </w:r>
    </w:p>
    <w:p>
      <w:pPr>
        <w:pStyle w:val="3"/>
        <w:keepNext w:val="0"/>
        <w:keepLines w:val="0"/>
        <w:pageBreakBefore w:val="0"/>
        <w:widowControl/>
        <w:numPr>
          <w:ilvl w:val="0"/>
          <w:numId w:val="4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个人从事金融商品转让业务。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（二十三）金融同业往来利息收入。</w:t>
      </w:r>
    </w:p>
    <w:p>
      <w:pPr>
        <w:pStyle w:val="3"/>
        <w:keepNext w:val="0"/>
        <w:keepLines w:val="0"/>
        <w:pageBreakBefore w:val="0"/>
        <w:widowControl/>
        <w:numPr>
          <w:ilvl w:val="0"/>
          <w:numId w:val="4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金融机构与人民银行所发生的资金往来业务。包括人民银行对一般金融机构贷款，以及人民银行对商业银行的再贴现等。</w:t>
      </w:r>
    </w:p>
    <w:p>
      <w:pPr>
        <w:pStyle w:val="3"/>
        <w:keepNext w:val="0"/>
        <w:keepLines w:val="0"/>
        <w:pageBreakBefore w:val="0"/>
        <w:widowControl/>
        <w:numPr>
          <w:ilvl w:val="0"/>
          <w:numId w:val="4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银行联行往来业务。同一银行系统内部不同行、处之间所发生的资金账务往来业务。</w:t>
      </w:r>
    </w:p>
    <w:p>
      <w:pPr>
        <w:pStyle w:val="3"/>
        <w:keepNext w:val="0"/>
        <w:keepLines w:val="0"/>
        <w:pageBreakBefore w:val="0"/>
        <w:widowControl/>
        <w:numPr>
          <w:ilvl w:val="0"/>
          <w:numId w:val="4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金融机构间的资金往来业务。是指经人民银行批准，进入全国银行间同业拆借市场的金融机构之间通过全国统一的同业拆借网络进行的短期(一年以下含一年)无担保资金融通行为。</w:t>
      </w:r>
    </w:p>
    <w:p>
      <w:pPr>
        <w:pStyle w:val="3"/>
        <w:keepNext w:val="0"/>
        <w:keepLines w:val="0"/>
        <w:pageBreakBefore w:val="0"/>
        <w:widowControl/>
        <w:numPr>
          <w:ilvl w:val="0"/>
          <w:numId w:val="4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2"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Style w:val="6"/>
          <w:rFonts w:hint="eastAsia" w:ascii="仿宋_GB2312" w:hAnsi="仿宋_GB2312" w:eastAsia="仿宋_GB2312" w:cs="仿宋_GB2312"/>
          <w:i w:val="0"/>
          <w:iCs w:val="0"/>
          <w:caps w:val="0"/>
          <w:color w:val="auto"/>
          <w:spacing w:val="0"/>
          <w:sz w:val="32"/>
          <w:szCs w:val="32"/>
          <w:shd w:val="clear" w:fill="FFFFFF"/>
        </w:rPr>
        <w:t>【自2018年1月1日起废止】</w:t>
      </w:r>
      <w:r>
        <w:rPr>
          <w:rFonts w:hint="eastAsia" w:ascii="仿宋_GB2312" w:hAnsi="仿宋_GB2312" w:eastAsia="仿宋_GB2312" w:cs="仿宋_GB2312"/>
          <w:i w:val="0"/>
          <w:iCs w:val="0"/>
          <w:caps w:val="0"/>
          <w:color w:val="auto"/>
          <w:spacing w:val="0"/>
          <w:sz w:val="32"/>
          <w:szCs w:val="32"/>
          <w:shd w:val="clear" w:fill="FFFFFF"/>
        </w:rPr>
        <w:t>金融机构之间开展的转贴现业务。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金融机构是指：</w:t>
      </w:r>
    </w:p>
    <w:p>
      <w:pPr>
        <w:pStyle w:val="3"/>
        <w:keepNext w:val="0"/>
        <w:keepLines w:val="0"/>
        <w:pageBreakBefore w:val="0"/>
        <w:widowControl/>
        <w:numPr>
          <w:ilvl w:val="0"/>
          <w:numId w:val="4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银行：包括人民银行、商业银行、政策性银行。</w:t>
      </w:r>
    </w:p>
    <w:p>
      <w:pPr>
        <w:pStyle w:val="3"/>
        <w:keepNext w:val="0"/>
        <w:keepLines w:val="0"/>
        <w:pageBreakBefore w:val="0"/>
        <w:widowControl/>
        <w:numPr>
          <w:ilvl w:val="0"/>
          <w:numId w:val="4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信用合作社。</w:t>
      </w:r>
    </w:p>
    <w:p>
      <w:pPr>
        <w:pStyle w:val="3"/>
        <w:keepNext w:val="0"/>
        <w:keepLines w:val="0"/>
        <w:pageBreakBefore w:val="0"/>
        <w:widowControl/>
        <w:numPr>
          <w:ilvl w:val="0"/>
          <w:numId w:val="4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证券公司。</w:t>
      </w:r>
    </w:p>
    <w:p>
      <w:pPr>
        <w:pStyle w:val="3"/>
        <w:keepNext w:val="0"/>
        <w:keepLines w:val="0"/>
        <w:pageBreakBefore w:val="0"/>
        <w:widowControl/>
        <w:numPr>
          <w:ilvl w:val="0"/>
          <w:numId w:val="4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金融租赁公司、证券基金管理公司、财务公司、信托投资公司、证券投资基金。</w:t>
      </w:r>
    </w:p>
    <w:p>
      <w:pPr>
        <w:pStyle w:val="3"/>
        <w:keepNext w:val="0"/>
        <w:keepLines w:val="0"/>
        <w:pageBreakBefore w:val="0"/>
        <w:widowControl/>
        <w:numPr>
          <w:ilvl w:val="0"/>
          <w:numId w:val="4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保险公司。</w:t>
      </w:r>
    </w:p>
    <w:p>
      <w:pPr>
        <w:pStyle w:val="3"/>
        <w:keepNext w:val="0"/>
        <w:keepLines w:val="0"/>
        <w:pageBreakBefore w:val="0"/>
        <w:widowControl/>
        <w:numPr>
          <w:ilvl w:val="0"/>
          <w:numId w:val="4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其他经人民银行、银监会、证监会、保监会批准</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成立且经营金融保险业务的机构等。</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（二十四）同时符合下列条件的担保机构从事中小企业信用担保或者再担保业务取得的收入(不含信用评级、咨询、培训等收入)3年内免征增值税：</w:t>
      </w:r>
    </w:p>
    <w:p>
      <w:pPr>
        <w:pStyle w:val="3"/>
        <w:keepNext w:val="0"/>
        <w:keepLines w:val="0"/>
        <w:pageBreakBefore w:val="0"/>
        <w:widowControl/>
        <w:numPr>
          <w:ilvl w:val="0"/>
          <w:numId w:val="4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已取得监管部门颁发的融资性担保机构经营许可证，依法登记注册为企(事)业法人，实收资本超过2000万元。</w:t>
      </w:r>
    </w:p>
    <w:p>
      <w:pPr>
        <w:pStyle w:val="3"/>
        <w:keepNext w:val="0"/>
        <w:keepLines w:val="0"/>
        <w:pageBreakBefore w:val="0"/>
        <w:widowControl/>
        <w:numPr>
          <w:ilvl w:val="0"/>
          <w:numId w:val="4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平均年担保费率不超过银行同期贷款基准利率的50%。平均年担保费率=本期担保费收入/(期初担保余额+本期增加担保金额)×100%。</w:t>
      </w:r>
    </w:p>
    <w:p>
      <w:pPr>
        <w:pStyle w:val="3"/>
        <w:keepNext w:val="0"/>
        <w:keepLines w:val="0"/>
        <w:pageBreakBefore w:val="0"/>
        <w:widowControl/>
        <w:numPr>
          <w:ilvl w:val="0"/>
          <w:numId w:val="4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连续合规经营2年以上，资金主要用于担保业务，具备健全的内部管理制度和为中小企业提供担保的能力，经营业绩突出，对受保项目具有完善的事前评估、事中监控、事后追偿与处置机制。</w:t>
      </w:r>
    </w:p>
    <w:p>
      <w:pPr>
        <w:pStyle w:val="3"/>
        <w:keepNext w:val="0"/>
        <w:keepLines w:val="0"/>
        <w:pageBreakBefore w:val="0"/>
        <w:widowControl/>
        <w:numPr>
          <w:ilvl w:val="0"/>
          <w:numId w:val="4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为中小企业提供的累计担保贷款额占其两年累计担保业务总额的80%以上，单笔800万元以下的累计担保贷款额占其累计担保业务总额的50%以上。</w:t>
      </w:r>
    </w:p>
    <w:p>
      <w:pPr>
        <w:pStyle w:val="3"/>
        <w:keepNext w:val="0"/>
        <w:keepLines w:val="0"/>
        <w:pageBreakBefore w:val="0"/>
        <w:widowControl/>
        <w:numPr>
          <w:ilvl w:val="0"/>
          <w:numId w:val="4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对单个受保企业提供的担保余额不超过担保机构实收资本总额的10%，且平均单笔担保责任金额最多不超过3000万元人民币。</w:t>
      </w:r>
    </w:p>
    <w:p>
      <w:pPr>
        <w:pStyle w:val="3"/>
        <w:keepNext w:val="0"/>
        <w:keepLines w:val="0"/>
        <w:pageBreakBefore w:val="0"/>
        <w:widowControl/>
        <w:numPr>
          <w:ilvl w:val="0"/>
          <w:numId w:val="4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担保责任余额不低于其净资产的3倍，且代偿率不超过2%。担保机构免征增值税政策采取备案管理方式。符合条件的担保机构应到所在地县(市)主管税务机关和同级中小企业管理部门履行规定的备案手续，自完成备案手续之日起，享受3年免征增值税政策。3年免税期满后，符合条件的担保机构可按规定程序办理备案手续后继续享受该项政策。</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具体备案管理办法按照《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"https://www.waizi.org.cn/shuishounews/6736.html" \o "《国家税务总局关于中小企业信用担保机构免征营业税审批事项取消后有关管理问题的公告》国家税务总局公告2015年第69号"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国家税务总局关于中小企业信用担保机构免征营业税审批事项取消后有关管理问题的公告</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"https://www.waizi.org.cn/shuishounews/6736.html" \o "《国家税务总局关于中小企业信用担保机构免征营业税审批事项取消后有关管理问题的公告》国家税务总局公告2015年第69号"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国家税务总局公告2015年第69号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）规定执行，其中税务机关的备案管理部门统一调整为县（市）级国家税务局。</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（二十五）国家商品储备管理单位及其直属企业承担商品储备任务，从中央或者地方财政取得的利息补贴收入和价差补贴收入。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家商品储备管理单位及其直属企业，是指接受中央、省、市、县四级政府有关部门(或者政府指定管理单位)委托，承担粮(含大豆)、食用油、棉、糖、肉、盐(限于中央储备)等6种商品储备任务，并按有关政策收储、销售上述6种储备商品，取得财政储备经费或者补贴的商品储备企业。利息补贴收入，是指国家商品储备管理单位及其直属企业因承担上述商品储备任务从金融机构贷款，并从中央或者地方财政取得的用于偿还贷款利息的贴息收入。价差补贴收入包括销售价差补贴收入和轮换价差补贴收入。销售价差补贴收入，是指按照中央或者地方政府指令销售上述储备商品时，由于销售收入小于库存成本而从中央或者地方财政获得的全额价差补贴收入。轮换价差补贴收入，是指根据要求定期组织政策性储备商品轮换而从中央或者地方财政取得的商品新陈品质价差补贴收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（二十六）纳税人提供技术转让、技术开发和与之相关的技术咨询、技术服务。</w:t>
      </w:r>
    </w:p>
    <w:p>
      <w:pPr>
        <w:pStyle w:val="3"/>
        <w:keepNext w:val="0"/>
        <w:keepLines w:val="0"/>
        <w:pageBreakBefore w:val="0"/>
        <w:widowControl/>
        <w:numPr>
          <w:ilvl w:val="0"/>
          <w:numId w:val="4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技术转让、技术开发，是指《</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"https://www.waizi.org.cn/law/9777.html" \o "《销售服务、无形资产、不动产注释》2016年版全文"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销售服务、无形资产、不动产注释</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》中“转让技术”、“研发服务”范围内的业务活动。技术咨询，是指就特定技术项目提供可行性论证、技术预测、专题技术调查、分析评价报告等业务活动。</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与技术转让、技术开发相关的技术咨询、技术服务，是指转让方（或者受托方）根据技术转让或者开发合同的规定，为帮助受让方（或者委托方）掌握所转让（或者委托开发）的技术，而提供的技术咨询、技术服务业务，且这部分技术咨询、技术服务的价款与技术转让或者技术开发的价款应当在同一张发票上开具。</w:t>
      </w:r>
    </w:p>
    <w:p>
      <w:pPr>
        <w:pStyle w:val="3"/>
        <w:keepNext w:val="0"/>
        <w:keepLines w:val="0"/>
        <w:pageBreakBefore w:val="0"/>
        <w:widowControl/>
        <w:numPr>
          <w:ilvl w:val="0"/>
          <w:numId w:val="4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备案程序。试点纳税人申请免征增值税时，须持技术转让、开发的书面合同，到纳税人所在地省级科技主管部门进行认定，并持有关的书面合同和科技主管部门审核意见证明文件报主管税务机关备查。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（二十七）同时符合下列条件的合同能源管理服务：</w:t>
      </w:r>
    </w:p>
    <w:p>
      <w:pPr>
        <w:pStyle w:val="3"/>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节能服务公司实施合同能源管理项目相关技术，应当符合国家质量监督检验检疫总局和国家标准化管理委员会发布的《</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"https://www.waizi.org.cn/bz/120283.html" \o "《合同能源管理技术通则》（GB/T24915-2020）【全文附PDF版下载】"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合同能源管理技术通则</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》（GB/T24915-2010）规定的技术要求。</w:t>
      </w:r>
    </w:p>
    <w:p>
      <w:pPr>
        <w:pStyle w:val="3"/>
        <w:keepNext w:val="0"/>
        <w:keepLines w:val="0"/>
        <w:pageBreakBefore w:val="0"/>
        <w:widowControl/>
        <w:numPr>
          <w:ilvl w:val="0"/>
          <w:numId w:val="4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节能服务公司与用能企业签订节能效益分享型合同，其合同格式和内容，符合《</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"https://www.waizi.org.cn/law/3829.html" \o "《中华人民共和国合同法》全文（最新版）"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中华人民共和国合同法</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》和《</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"https://www.waizi.org.cn/bz/120283.html" \o "《合同能源管理技术通则》（GB/T24915-2020）【全文附PDF版下载】"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合同能源管理技术通则</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》（GB/T24915-2010）等规定。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（二十八）2017年12月31日前，科普单位的门票收入，以及县级及以上党政部门和科协开展科普活动的门票收入。</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科普单位，是指科技馆、自然博物馆，对公众开放的天文馆（站、台)、气象台（站)、地震台(站)，以及高等院校、科研机构对公众开放的科普基地。</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科普活动，是指利用各种传媒以浅显的、让公众易于理解、接受和参与的方式，向普通大众介绍自然科学和社会科学知识，推广科学技术的应用，倡导科学方法，传播科学思想，弘扬科学精神的活动。</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（二十九）政府举办的从事学历教育的高等、中等和初等学校（不含下属单位），举办进修班、培训班取得的全部归该学校所有的收入。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全部归该学校所有，是指举办进修班、培训班取得的全部收入进入该学校统一账户，并纳入预算全额上缴财政专户管理，同时由该学校对有关票据进行统一管理和开具。</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举办进修班、培训班取得的收入进入该学校下属部门自行开设账户的，不予免征增值税。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（三十）政府举办的职业学校设立的主要为在校学生提供实习场所、并由学校出资自办、由学校负责经营管理、经营收入归学校所有的企业，从事《</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"https://www.waizi.org.cn/law/9777.html" \o "《销售服务、无形资产、不动产注释》2016年版全文"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销售服务、无形资产、不动产注释</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》中“现代服务”（不含融资租赁服务、广告服务和其他现代服务）、“生活服务”（不含文化体育服务、其他生活服务和桑拿、氧吧）业务活动取得的收入。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（三十一）家政服务企业由员工制家政服务员提供家政服务取得的收入。</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家政服务企业，是指在企业营业执照的规定经营范围中包括家政服务内容的企业。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员工制家政服务员，是指同时符合下列3个条件的家政服务员：</w:t>
      </w:r>
    </w:p>
    <w:p>
      <w:pPr>
        <w:pStyle w:val="3"/>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依法与家政服务企业签订半年及半年以上的劳动合同或者服务协议，且在该企业实际上岗工作。</w:t>
      </w:r>
    </w:p>
    <w:p>
      <w:pPr>
        <w:pStyle w:val="3"/>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家政服务企业为其按月足额缴纳了企业所在地人民政府根据国家政策规定的基本养老保险、基本医疗保险、工伤保险、失业保险等社会保险。对已享受新型农村养老保险和新型农村合作医疗等社会保险或者下岗职工原单位继续为其缴纳社会保险的家政服务员，如果本人书面提出不再缴纳企业所在地人民政府根据国家政策规定的相应的社会保险，并出具其所在乡镇或者原单位开具的已缴纳相关保险的证明，可视同家政服务企业已为其按月足额缴纳了相应的社会保险。</w:t>
      </w:r>
    </w:p>
    <w:p>
      <w:pPr>
        <w:pStyle w:val="3"/>
        <w:keepNext w:val="0"/>
        <w:keepLines w:val="0"/>
        <w:pageBreakBefore w:val="0"/>
        <w:widowControl/>
        <w:numPr>
          <w:ilvl w:val="0"/>
          <w:numId w:val="4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家政服务企业通过金融机构向其实际支付不低于企业所在地适用的经省级人民政府批准的最低工资标准的工资。</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（三十二）福利彩票、体育彩票的发行收入。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（三十三）军队空余房产租赁收入。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（三十四）为了配合国家住房制度改革，企业、行政事业单位按房改成本价、标准价出售住房取得的收入。</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（三十五）将土地使用权转让给农业生产者用于农业生产。</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（三十六）涉及家庭财产分割的个人无偿转让不动产、土地使用权。</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家庭财产分割，包括下列情形：离婚财产分割；无偿赠与配偶、父母、子女、祖父母、外祖父母、孙子女、外孙子女、兄弟姐妹；无偿赠与对其承担直接抚养或者赡养义务的抚养人或者赡养人；房屋产权所有人死亡，法定继承人、遗嘱继承人或者受遗赠人依法取得房屋产权。</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（三十七）土地所有者出让土地使用权和土地使用者将土地使用权归还给土地所有者。</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（三十八）县级以上地方人民政府或自然资源行政主管部门出让、转让或收回自然资源使用权（不含土地使用权）。</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（三十九）随军家属就业。</w:t>
      </w:r>
    </w:p>
    <w:p>
      <w:pPr>
        <w:pStyle w:val="3"/>
        <w:keepNext w:val="0"/>
        <w:keepLines w:val="0"/>
        <w:pageBreakBefore w:val="0"/>
        <w:widowControl/>
        <w:numPr>
          <w:ilvl w:val="0"/>
          <w:numId w:val="4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为安置随军家属就业而新开办的企业，自领取税务登记证之日起，其提供的应税服务3年内免征增值税。</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享受税收优惠政策的企业，随军家属必须占企业总人数的60%（含）以上，并有军（含）以上政治和后勤机关出具的证明。</w:t>
      </w:r>
    </w:p>
    <w:p>
      <w:pPr>
        <w:pStyle w:val="3"/>
        <w:keepNext w:val="0"/>
        <w:keepLines w:val="0"/>
        <w:pageBreakBefore w:val="0"/>
        <w:widowControl/>
        <w:numPr>
          <w:ilvl w:val="0"/>
          <w:numId w:val="4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从事个体经营的随军家属，自办理税务登记事项之日起，其提供的应税服务3年内免征增值税。</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随军家属必须有师以上政治机关出具的可以表明其身份的证明。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按照上述规定，每一名随军家属可以享受一次免税政策。</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（四十）军队转业干部就业。</w:t>
      </w:r>
    </w:p>
    <w:p>
      <w:pPr>
        <w:pStyle w:val="3"/>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从事个体经营的军队转业干部，自领取税务登记证之日起，其提供的应税服务3年内免征增值税。</w:t>
      </w:r>
    </w:p>
    <w:p>
      <w:pPr>
        <w:pStyle w:val="3"/>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为安置自主择业的军队转业干部就业而新开办的企业，凡安置自主择业的军队转业干部占企业总人数60%（含）以上的，自领取税务登记证之日起，其提供的应税服务3年内免征增值税。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享受上述优惠政策的自主择业的军队转业干部必须持有师以上部队颁发的转业证件。</w:t>
      </w:r>
    </w:p>
    <w:p>
      <w:pPr>
        <w:pStyle w:val="3"/>
        <w:keepNext w:val="0"/>
        <w:keepLines w:val="0"/>
        <w:pageBreakBefore w:val="0"/>
        <w:widowControl/>
        <w:numPr>
          <w:ilvl w:val="0"/>
          <w:numId w:val="3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b w:val="0"/>
          <w:bCs w:val="0"/>
          <w:i w:val="0"/>
          <w:iCs w:val="0"/>
          <w:caps w:val="0"/>
          <w:color w:val="auto"/>
          <w:spacing w:val="0"/>
          <w:sz w:val="32"/>
          <w:szCs w:val="32"/>
          <w:shd w:val="clear" w:fill="FFFFFF"/>
        </w:rPr>
      </w:pPr>
      <w:r>
        <w:rPr>
          <w:rFonts w:hint="eastAsia" w:ascii="黑体" w:hAnsi="黑体" w:eastAsia="黑体" w:cs="黑体"/>
          <w:b w:val="0"/>
          <w:bCs w:val="0"/>
          <w:i w:val="0"/>
          <w:iCs w:val="0"/>
          <w:caps w:val="0"/>
          <w:color w:val="auto"/>
          <w:spacing w:val="0"/>
          <w:sz w:val="32"/>
          <w:szCs w:val="32"/>
          <w:shd w:val="clear" w:fill="FFFFFF"/>
        </w:rPr>
        <w:t>增值税即征即退</w:t>
      </w:r>
    </w:p>
    <w:p>
      <w:pPr>
        <w:pStyle w:val="3"/>
        <w:keepNext w:val="0"/>
        <w:keepLines w:val="0"/>
        <w:pageBreakBefore w:val="0"/>
        <w:widowControl/>
        <w:numPr>
          <w:ilvl w:val="0"/>
          <w:numId w:val="5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一般纳税人提供管道运输服务，对其增值税实际税负超过3%的部分实行增值税即征即退政策。</w:t>
      </w:r>
    </w:p>
    <w:p>
      <w:pPr>
        <w:pStyle w:val="3"/>
        <w:keepNext w:val="0"/>
        <w:keepLines w:val="0"/>
        <w:pageBreakBefore w:val="0"/>
        <w:widowControl/>
        <w:numPr>
          <w:ilvl w:val="0"/>
          <w:numId w:val="5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人民银行、银监会或者商务部批准从事融资租赁业务的试点纳税人中的一般纳税人，提供有形动产融资租赁服务和有形动产融资性售后回租服务，对其增值税实际税负超过3%的部分实行增值税即征即退政策。商务部授权的省级商务主管部门和国家经济技术开发区批准的从事融资租赁业务和融资性售后回租业务的试点纳税人中的一般纳税人，2016年5月1日后实收资本达到1.7亿元的，从达到标准的当月起按照上述规定执行；2016年5月1日后实收资本未达到1.7亿元但注册资本达到1.7亿元的，在2016年7月31日前仍可按照上述规定执行，2016年8月1日后开展的有形动产融资租赁业务和有形动产融资性售后回租业务不得按照上述规定执行。</w:t>
      </w:r>
    </w:p>
    <w:p>
      <w:pPr>
        <w:pStyle w:val="3"/>
        <w:keepNext w:val="0"/>
        <w:keepLines w:val="0"/>
        <w:pageBreakBefore w:val="0"/>
        <w:widowControl/>
        <w:numPr>
          <w:ilvl w:val="0"/>
          <w:numId w:val="5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本规定所称增值税实际税负，是指纳税人当期提供应税服务实际缴纳的增值税额占纳税人当期提供应税服务取得的全部价款和价外费用的比例。</w:t>
      </w:r>
    </w:p>
    <w:p>
      <w:pPr>
        <w:pStyle w:val="3"/>
        <w:keepNext w:val="0"/>
        <w:keepLines w:val="0"/>
        <w:pageBreakBefore w:val="0"/>
        <w:widowControl/>
        <w:numPr>
          <w:ilvl w:val="0"/>
          <w:numId w:val="3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扣减增值税规定</w:t>
      </w:r>
    </w:p>
    <w:p>
      <w:pPr>
        <w:pStyle w:val="3"/>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退役士兵创业就业。</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1.对自主就业退役士兵从事个体经营的，在3年内按每户每年8000元为限额依次扣减其当年实际应缴纳的增值税、城市维护建设税、教育费附加、地方教育附加和个人所得税。限额标准最高可上浮20%，各省、自治区、直辖市人民政府可根据本地区实际情况在此幅度内确定具体限额标准，并报财政部和国家税务总局备案。</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年度应缴纳税款小于上述扣减限额的，以其实际缴纳的税款为限；大于上述扣减限额的，应以上述扣减限额为限。纳税人的实际经营期不足一年的，应当以实际月份换算其减免税限额。换算公式为：减免税限额=年度减免税限额÷12×实际经营月数。</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纳税人在享受税收优惠政策的当月，持《中国人民解放军义务兵退出现役证》或《中国人民解放军士官退出现役证》以及税务机关要求的相关材料向主管税务机关备案。</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val="en-US" w:eastAsia="zh-CN"/>
        </w:rPr>
        <w:t>2.</w:t>
      </w:r>
      <w:r>
        <w:rPr>
          <w:rFonts w:hint="eastAsia" w:ascii="仿宋_GB2312" w:hAnsi="仿宋_GB2312" w:eastAsia="仿宋_GB2312" w:cs="仿宋_GB2312"/>
          <w:i w:val="0"/>
          <w:iCs w:val="0"/>
          <w:caps w:val="0"/>
          <w:color w:val="auto"/>
          <w:spacing w:val="0"/>
          <w:sz w:val="32"/>
          <w:szCs w:val="32"/>
          <w:shd w:val="clear" w:fill="FFFFFF"/>
        </w:rPr>
        <w:t>对商贸企业、服务型企业、劳动就业服务企业中的加工型企业和街道社区具有加工性质的小型企业实体，在新增加的岗位中，当年新招用自主就业退役士兵，与其签订1年以上期限劳动合同并依法缴纳社会保险费的，在3年内按实际招用人数予以定额依次扣减增值税、城市维护建设税、教育费附加、地方教育附加和企业所得税优惠。定额标准为每人每年4000元，最高可上浮50%，各省、自治区、直辖市人民政府可根据本地区实际情况在此幅度内确定具体定额标准，并报财政部和国家税务总局备案。</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val="en-US" w:eastAsia="zh-CN"/>
        </w:rPr>
        <w:t>3.</w:t>
      </w:r>
      <w:r>
        <w:rPr>
          <w:rFonts w:hint="eastAsia" w:ascii="仿宋_GB2312" w:hAnsi="仿宋_GB2312" w:eastAsia="仿宋_GB2312" w:cs="仿宋_GB2312"/>
          <w:i w:val="0"/>
          <w:iCs w:val="0"/>
          <w:caps w:val="0"/>
          <w:color w:val="auto"/>
          <w:spacing w:val="0"/>
          <w:sz w:val="32"/>
          <w:szCs w:val="32"/>
          <w:shd w:val="clear" w:fill="FFFFFF"/>
        </w:rPr>
        <w:t>本条所称服务型企业是指从事《</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"https://www.waizi.org.cn/law/9777.html" \o "《销售服务、无形资产、不动产注释》2016年版全文"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销售服务、无形资产、不动产注释</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》中“不动产租赁服务”、“商务辅助服务”（不含货物运输代理和代理报关服务）、“生活服务”（不含文化体育服务）范围内业务活动的企业以及按照《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"https://www.waizi.org.cn/law/3911.html" \o "《民办非企业单位登记管理暂行条例》国务院令第251号（全文）"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民办非企业单位登记管理暂行条例</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"https://www.waizi.org.cn/law/3911.html" \o "《民办非企业单位登记管理暂行条例》国务院令第251号（全文）"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国务院令第251号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）登记成立的民办非企业单位。</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按企业招用人数和签订的劳动合同时间核定企业减免税总额，在核定减免税总额内每月依次扣减增值税、城市维护建设税、教育费附加和地方教育附加。纳税人实际应缴纳的增值税、城市维护建设税、教育费附加和地方教育附加小于核定减免税总额的，以实际应缴纳的增值税、城市维护建设税、教育费附加和地方教育附加为限；实际应缴纳的增值税、城市维护建设税、教育费附加和地方教育附加大于核定减免税总额的，以核定减免税总额为限。</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纳税年度终了，如果企业实际减免的增值税、城市维护建设税、教育费附加和地方教育附加小于核定的减免税总额，企业在企业所得税汇算清缴时扣减企业所得税。当年扣减不足的，不再结转以后年度扣减。</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计算公式为：企业减免税总额=∑每名自主就业退役士兵本年度在本企业工作月份÷12×定额标准。</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企业自招用自主就业退役士兵的次月起享受税收优惠政策，并于享受税收优惠政策的当月，持下列材料向主管税务机关备案：</w:t>
      </w:r>
    </w:p>
    <w:p>
      <w:pPr>
        <w:pStyle w:val="3"/>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新招用自主就业退役士兵的《中国人民解放军义务兵退出现役证》或《中国人民解放军士官退出现役证》。</w:t>
      </w:r>
    </w:p>
    <w:p>
      <w:pPr>
        <w:pStyle w:val="3"/>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企业与新招用自主就业退役士兵签订的劳动合同（副本），企业为职工缴纳的社会保险费记录。</w:t>
      </w:r>
    </w:p>
    <w:p>
      <w:pPr>
        <w:pStyle w:val="3"/>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自主就业退役士兵本年度在企业工作时间表。</w:t>
      </w:r>
    </w:p>
    <w:p>
      <w:pPr>
        <w:pStyle w:val="3"/>
        <w:keepNext w:val="0"/>
        <w:keepLines w:val="0"/>
        <w:pageBreakBefore w:val="0"/>
        <w:widowControl/>
        <w:numPr>
          <w:ilvl w:val="0"/>
          <w:numId w:val="5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主管税务机关要求的其他相关材料。</w:t>
      </w:r>
    </w:p>
    <w:p>
      <w:pPr>
        <w:pStyle w:val="3"/>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上述所称自主就业退役士兵是指依照《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"https://www.waizi.org.cn/law/3916.html" \o "《退役士兵安置条例》全文-国务院中央军事委员会令第608号"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退役士兵安置条例</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"https://www.waizi.org.cn/law/3916.html" \o "国务院、中央军委令第608号"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国务院、中央军委令第608号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）的规定退出现役并按自主就业方式安置的退役士兵。</w:t>
      </w:r>
    </w:p>
    <w:p>
      <w:pPr>
        <w:pStyle w:val="3"/>
        <w:keepNext w:val="0"/>
        <w:keepLines w:val="0"/>
        <w:pageBreakBefore w:val="0"/>
        <w:widowControl/>
        <w:numPr>
          <w:ilvl w:val="0"/>
          <w:numId w:val="4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上述税收优惠政策的执行期限为2016年5月1日至2016年12月31日，纳税人在2016年12月31日未享受满3年的，可继续享受至3年期满为止。</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"https://www.waizi.org.cn/shuishounews/6430.html" \o "财税〔2014〕42号《财政部国家税务总局民政部关于调整完善扶持自主就业退役士兵创业就业有关税收政策的通知》"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财政部国家税务总局民政部关于调整完善扶持自主就业退役士兵创业就业有关税收政策的通知</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"https://www.waizi.org.cn/shuishounews/6430.html" \o "财税〔2014〕42号《财政部国家税务总局民政部关于调整完善扶持自主就业退役士兵创业就业有关税收政策的通知》"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财税〔2014〕42号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）规定享受营业税优惠政策的纳税人，自2016年5月1日起按照上述规定享受增值税优惠政策，在2016年12月31日未享受满3年的，可继续享受至3年期满为止。</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"https://www.waizi.org.cn/shuishounews/6444.html" \o "财税〔2013〕106号《财政部国家税务总局关于将铁路运输和邮政业纳入营业税改征增值税试点的通知》【条款失效】"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财政部国家税务总局关于将铁路运输和邮政业纳入营业税改征增值税试点的通知</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"https://www.waizi.org.cn/shuishounews/6444.html" \o "财税〔2013〕106号《财政部国家税务总局关于将铁路运输和邮政业纳入营业税改征增值税试点的通知》【条款失效】"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财税〔2013〕106号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）附件3第一条第（十二）项城镇退役士兵就业免征增值税政策，自2014年7月1日起停止执行。在2014年6月30日未享受满3年的，可继续享受至3年期满为止。</w:t>
      </w:r>
    </w:p>
    <w:p>
      <w:pPr>
        <w:pStyle w:val="3"/>
        <w:keepNext w:val="0"/>
        <w:keepLines w:val="0"/>
        <w:pageBreakBefore w:val="0"/>
        <w:widowControl/>
        <w:numPr>
          <w:ilvl w:val="0"/>
          <w:numId w:val="5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重点群体创业就业。</w:t>
      </w:r>
    </w:p>
    <w:p>
      <w:pPr>
        <w:pStyle w:val="3"/>
        <w:keepNext w:val="0"/>
        <w:keepLines w:val="0"/>
        <w:pageBreakBefore w:val="0"/>
        <w:widowControl/>
        <w:numPr>
          <w:ilvl w:val="0"/>
          <w:numId w:val="5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对持《就业创业证》（注明“自主创业税收政策”或“毕业年度内自主创业税收政策”）或2015年1月27日前取得的《就业失业登记证》（注明“自主创业税收政策”或附着《高校毕业生自主创业证》）的人员从事个体经营的，在3年内按每户每年8000元为限额依次扣减其当年实际应缴纳的增值税、城市维护建设税、教育费附加、地方教育附加和个人所得税。限额标准最高可上浮20%，各省、自治区、直辖市人民政府可根据本地区实际情况在此幅度内确定具体限额标准，并报财政部和国家税务总局备案。</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纳税人年度应缴纳税款小于上述扣减限额的，以其实际缴纳的税款为限；大于上述扣减限额的，应以上述扣减限额为限。</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上述人员是指：</w:t>
      </w:r>
    </w:p>
    <w:p>
      <w:pPr>
        <w:pStyle w:val="3"/>
        <w:keepNext w:val="0"/>
        <w:keepLines w:val="0"/>
        <w:pageBreakBefore w:val="0"/>
        <w:widowControl/>
        <w:numPr>
          <w:ilvl w:val="0"/>
          <w:numId w:val="5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在人力资源社会保障部门公共就业服务机构登记失业半年以上的人员。</w:t>
      </w:r>
    </w:p>
    <w:p>
      <w:pPr>
        <w:pStyle w:val="3"/>
        <w:keepNext w:val="0"/>
        <w:keepLines w:val="0"/>
        <w:pageBreakBefore w:val="0"/>
        <w:widowControl/>
        <w:numPr>
          <w:ilvl w:val="0"/>
          <w:numId w:val="5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零就业家庭、享受城市居民最低生活保障家庭劳动年龄内的登记失业人员。</w:t>
      </w:r>
    </w:p>
    <w:p>
      <w:pPr>
        <w:pStyle w:val="3"/>
        <w:keepNext w:val="0"/>
        <w:keepLines w:val="0"/>
        <w:pageBreakBefore w:val="0"/>
        <w:widowControl/>
        <w:numPr>
          <w:ilvl w:val="0"/>
          <w:numId w:val="5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毕业年度内高校毕业生。高校毕业生是指实施高等学历教育的普通高等学校、成人高等学校毕业的学生；毕业年度是指毕业所在自然年，即1月1日至12月31日。</w:t>
      </w:r>
    </w:p>
    <w:p>
      <w:pPr>
        <w:pStyle w:val="3"/>
        <w:keepNext w:val="0"/>
        <w:keepLines w:val="0"/>
        <w:pageBreakBefore w:val="0"/>
        <w:widowControl/>
        <w:numPr>
          <w:ilvl w:val="0"/>
          <w:numId w:val="5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对商贸企业、服务型企业、劳动就业服务企业中的加工型企业和街道社区具有加工性质的小型企业实体，在新增加的岗位中，当年新招用在人力资源社会保障部门公共就业服务机构登记失业半年以上且持《就业创业证》或2015年1月27日前取得的《就业失业登记证》（注明“企业吸纳税收政策”）人员，与其签订1年以上期限劳动合同并依法缴纳社会保险费的，在3年内按实际招用人数予以定额依次扣减增值税、城市维护建设税、教育费附加、地方教育附加和企业所得税优惠。定额标准为每人每年4000元，最高可上浮30%，各省、自治区、直辖市人民政府可根据本地区实际情况在此幅度内确定具体定额标准，并报财政部和国家税务总局备案。</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按上述标准计算的税收扣减额应在企业当年实际应缴纳的增值税、城市维护建设税、教育费附加、地方教育附加和企业所得税税额中扣减，当年扣减不足的，不得结转下年使用。</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本条所称服务型企业是指从事《</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"https://www.waizi.org.cn/law/9777.html" \o "《销售服务、无形资产、不动产注释》2016年版全文"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销售服务、无形资产、不动产注释</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》中“不动产租赁服务”、“商务辅助服务”（不含货物运输代理和代理报关服务）、“生活服务”（不含文化体育服务）范围内业务活动的企业以及按照《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"https://www.waizi.org.cn/law/3911.html" \o "《民办非企业单位登记管理暂行条例》国务院令第251号（全文）"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民办非企业单位登记管理暂行条例</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"https://www.waizi.org.cn/law/3911.html" \o "《民办非企业单位登记管理暂行条例》国务院令第251号（全文）"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国务院令第251号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）登记成立的民办非企业单位。</w:t>
      </w:r>
    </w:p>
    <w:p>
      <w:pPr>
        <w:pStyle w:val="3"/>
        <w:keepNext w:val="0"/>
        <w:keepLines w:val="0"/>
        <w:pageBreakBefore w:val="0"/>
        <w:widowControl/>
        <w:numPr>
          <w:ilvl w:val="0"/>
          <w:numId w:val="5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享受上述优惠政策的人员按以下规定申领《就业创业证》：</w:t>
      </w:r>
    </w:p>
    <w:p>
      <w:pPr>
        <w:pStyle w:val="3"/>
        <w:keepNext w:val="0"/>
        <w:keepLines w:val="0"/>
        <w:pageBreakBefore w:val="0"/>
        <w:widowControl/>
        <w:numPr>
          <w:ilvl w:val="0"/>
          <w:numId w:val="5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"https://www.waizi.org.cn/doc/52356.html" \o "《就业服务与就业管理规定》2018年修订版（全文）"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就业服务与就业管理规定</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"https://www.waizi.org.cn/law/4497.html" \o "《就业服务与就业管理规定》劳动和社会保障部令第28号"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劳动和社会保障部令第28号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第六十三条的规定，在法定劳动年龄内，有劳动能力，有就业要求，处于无业状态的城镇常住人员，在公共就业服务机构进行失业登记，申领《就业创业证》。其中，农村进城务工人员和其他非本地户籍人员在常住地稳定就业满6个月的，失业后可以在常住地登记。</w:t>
      </w:r>
    </w:p>
    <w:p>
      <w:pPr>
        <w:pStyle w:val="3"/>
        <w:keepNext w:val="0"/>
        <w:keepLines w:val="0"/>
        <w:pageBreakBefore w:val="0"/>
        <w:widowControl/>
        <w:numPr>
          <w:ilvl w:val="0"/>
          <w:numId w:val="5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零就业家庭凭社区出具的证明，城镇低保家庭凭低保证明，在公共就业服务机构登记失业，申领《就业创业证》。</w:t>
      </w:r>
    </w:p>
    <w:p>
      <w:pPr>
        <w:pStyle w:val="3"/>
        <w:keepNext w:val="0"/>
        <w:keepLines w:val="0"/>
        <w:pageBreakBefore w:val="0"/>
        <w:widowControl/>
        <w:numPr>
          <w:ilvl w:val="0"/>
          <w:numId w:val="5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毕业年度内高校毕业生在校期间凭学生证向公共就业服务机构按规定申领《就业创业证》，或委托所在高校就业指导中心向公共就业服务机构按规定代为其申领《就业创业证》；毕业年度内高校毕业生离校后直接向公共就业服务机构按规定申领《就业创业证》。</w:t>
      </w:r>
    </w:p>
    <w:p>
      <w:pPr>
        <w:pStyle w:val="3"/>
        <w:keepNext w:val="0"/>
        <w:keepLines w:val="0"/>
        <w:pageBreakBefore w:val="0"/>
        <w:widowControl/>
        <w:numPr>
          <w:ilvl w:val="0"/>
          <w:numId w:val="5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人员申领相关凭证后，由就业和创业地人力资源社会保障部门对人员范围、就业失业状态、已享受政策情况进行核实，在《就业创业证》上注明“自主创业税收政策”、“毕业年度内自主创业税收政策”或“企业吸纳税收政策”字样，同时符合自主创业和企业吸纳税收政策条件的，可同时加注；主管税务机关在《就业创业证》上加盖戳记，注明减免税所属时间。</w:t>
      </w:r>
    </w:p>
    <w:p>
      <w:pPr>
        <w:pStyle w:val="3"/>
        <w:keepNext w:val="0"/>
        <w:keepLines w:val="0"/>
        <w:pageBreakBefore w:val="0"/>
        <w:widowControl/>
        <w:numPr>
          <w:ilvl w:val="0"/>
          <w:numId w:val="5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上述税收优惠政策的执行期限为2016年5月1日至2016年12月31日，纳税人在2016年12月31日未享受满3年的，可继续享受至3年期满为止。</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"https://www.waizi.org.cn/shuishounews/2433.html" \o "财税〔2014〕39号《财政部国家税务总局人力资源社会保障部关于继续实施支持和促进重点群体创业就业有关税收政策的通知》"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财政部国家税务总局人力资源社会保障部关于继续实施支持和促进重点群体创业就业有关税收政策的通知</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"https://www.waizi.org.cn/shuishounews/2433.html" \o "财税〔2014〕39号《财政部国家税务总局人力资源社会保障部关于继续实施支持和促进重点群体创业就业有关税收政策的通知》"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财税〔2014〕39号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）规定享受营业税优惠政策的纳税人，自2016年5月1日起按照上述规定享受增值税优惠政策，在2016年12月31日未享受满3年的，可继续享受至3年期满为止。</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"https://www.waizi.org.cn/shuishounews/6444.html" \o "财税〔2013〕106号《财政部国家税务总局关于将铁路运输和邮政业纳入营业税改征增值税试点的通知》【条款失效】"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财政部国家税务总局关于将铁路运输和邮政业纳入营业税改征增值税试点的通知</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"https://www.waizi.org.cn/shuishounews/6444.html" \o "财税〔2013〕106号《财政部国家税务总局关于将铁路运输和邮政业纳入营业税改征增值税试点的通知》【条款失效】"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财税〔2013〕106号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）附件3第一条第（十三）项失业人员就业增值税优惠政策，自2014年1月1日起停止执行。在2013年12月31日未享受满3年的，可继续享受至3年期满为止。</w:t>
      </w:r>
    </w:p>
    <w:p>
      <w:pPr>
        <w:pStyle w:val="3"/>
        <w:keepNext w:val="0"/>
        <w:keepLines w:val="0"/>
        <w:pageBreakBefore w:val="0"/>
        <w:widowControl/>
        <w:numPr>
          <w:ilvl w:val="0"/>
          <w:numId w:val="3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金融企业发放贷款后，自结息日起90天内发生的应收未收利息按现行规定缴纳增值税，自结息日起90天后发生的应收未收利息暂不缴纳增值税，待实际收到利息时按规定缴纳增值税。</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上述所称金融企业，是指银行（包括国有、集体、股份制、合资、外资银行以及其他所有制形式的银行）、城市信用社、农村信用社、信托投资公司、财务公司。</w:t>
      </w:r>
    </w:p>
    <w:p>
      <w:pPr>
        <w:pStyle w:val="3"/>
        <w:keepNext w:val="0"/>
        <w:keepLines w:val="0"/>
        <w:pageBreakBefore w:val="0"/>
        <w:widowControl/>
        <w:numPr>
          <w:ilvl w:val="0"/>
          <w:numId w:val="3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个人将购买不足2年的住房对外销售的，按照5%的征收率全额缴纳增值税；个人将购买2年以上（含2年）的住房对外销售的，免征增值税。上述政策适用于北京市、上海市、广州市和深圳市之外的地区。</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个人将购买不足2年的住房对外销售的，按照5%的征收率全额缴纳增值税；个人将购买2年以上（含2年）的非普通住房对外销售的，以销售收入减去购买住房价款后的差额按照5%的征收率缴纳增值税；个人将购买2年以上（含2年）的普通住房对外销售的，免征增值税。上述政策仅适用于北京市、上海市、广州市和深圳市。</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办理免税的具体程序、购买房屋的时间、开具发票、非购买形式取得住房行为及其他相关税收管理规定，按照《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"https://www.waizi.org.cn/law/5605.html" \o "国办发〔2005〕26号《国务院办公厅转发建设部等部门关于做好稳定住房价格工作意见的通知》"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国务院办公厅转发建设部等部门关于做好稳定住房价格工作意见的通知</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"https://www.waizi.org.cn/law/5605.html" \o "国办发〔2005〕26号《国务院办公厅转发建设部等部门关于做好稳定住房价格工作意见的通知》"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国办发〔2005〕26号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"https://www.waizi.org.cn/shuishounews/20188.html" \o "国税发〔2005〕89号《国家税务总局财政部建设部关于加强房地产税收管理的通知》"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国家税务总局财政部建设部关于加强房地产税收管理的通知</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"https://www.waizi.org.cn/shuishounews/20188.html" \o "国税发〔2005〕89号《国家税务总局财政部建设部关于加强房地产税收管理的通知》"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国税发〔2005〕89号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）和《</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"https://www.waizi.org.cn/shuishounews/5607.html" \o "国税发〔2005〕172号《国家税务总局关于房地产税收政策中几个具体问题的通知》"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国家税务总局关于房地产税收政策中几个具体问题的通知</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"https://www.waizi.org.cn/shuishounews/5607.html" \o "国税发〔2005〕172号《国家税务总局关于房地产税收政策中几个具体问题的通知》"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国税发〔2005〕172号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）的有关规定执行。</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六、上述增值税优惠政策除已规定期限的项目和第五条政策外，其他均在营改增试点期间执行。如果试点纳税人在纳入营改增试点之日前已经按照有关政策规定享受了营业税税收优惠，在剩余税收优惠政策期限内，按照本规定享受有关增值税优惠。</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rPr>
          <w:rFonts w:hint="eastAsia" w:ascii="黑体" w:hAnsi="黑体" w:eastAsia="黑体" w:cs="黑体"/>
          <w:i w:val="0"/>
          <w:iCs w:val="0"/>
          <w:caps w:val="0"/>
          <w:color w:val="auto"/>
          <w:spacing w:val="0"/>
          <w:sz w:val="32"/>
          <w:szCs w:val="32"/>
          <w:shd w:val="clear" w:fill="FFFFFF"/>
          <w:lang w:val="en-US" w:eastAsia="zh-CN"/>
        </w:rPr>
      </w:pPr>
      <w:r>
        <w:rPr>
          <w:rFonts w:hint="eastAsia" w:ascii="黑体" w:hAnsi="黑体" w:eastAsia="黑体" w:cs="黑体"/>
          <w:i w:val="0"/>
          <w:iCs w:val="0"/>
          <w:caps w:val="0"/>
          <w:color w:val="auto"/>
          <w:spacing w:val="0"/>
          <w:sz w:val="32"/>
          <w:szCs w:val="32"/>
          <w:shd w:val="clear" w:fill="FFFFFF"/>
          <w:lang w:val="en-US" w:eastAsia="zh-CN"/>
        </w:rPr>
        <w:t>附件4</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rPr>
          <w:rFonts w:hint="eastAsia" w:ascii="黑体" w:hAnsi="黑体" w:eastAsia="黑体" w:cs="黑体"/>
          <w:i w:val="0"/>
          <w:iCs w:val="0"/>
          <w:caps w:val="0"/>
          <w:color w:val="auto"/>
          <w:spacing w:val="0"/>
          <w:sz w:val="32"/>
          <w:szCs w:val="32"/>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方正小标宋简体" w:eastAsia="方正小标宋简体" w:cs="方正小标宋简体"/>
          <w:i w:val="0"/>
          <w:iCs w:val="0"/>
          <w:caps w:val="0"/>
          <w:color w:val="auto"/>
          <w:spacing w:val="0"/>
          <w:sz w:val="32"/>
          <w:szCs w:val="32"/>
          <w:u w:val="none"/>
          <w:shd w:val="clear" w:fill="FFFFFF"/>
        </w:rPr>
      </w:pP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begin"/>
      </w:r>
      <w:r>
        <w:rPr>
          <w:rFonts w:hint="eastAsia" w:ascii="方正小标宋简体" w:hAnsi="方正小标宋简体" w:eastAsia="方正小标宋简体" w:cs="方正小标宋简体"/>
          <w:i w:val="0"/>
          <w:iCs w:val="0"/>
          <w:caps w:val="0"/>
          <w:color w:val="auto"/>
          <w:spacing w:val="0"/>
          <w:sz w:val="32"/>
          <w:szCs w:val="32"/>
          <w:u w:val="none"/>
          <w:shd w:val="clear" w:fill="FFFFFF"/>
        </w:rPr>
        <w:instrText xml:space="preserve"> HYPERLINK "http://www.chinatax.gov.cn/n810341/n810755/c2043931/5127107/files/bb732efa97bd431cbda18ba9f42219e3.docx" </w:instrText>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separate"/>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end"/>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begin"/>
      </w:r>
      <w:r>
        <w:rPr>
          <w:rFonts w:hint="eastAsia" w:ascii="方正小标宋简体" w:hAnsi="方正小标宋简体" w:eastAsia="方正小标宋简体" w:cs="方正小标宋简体"/>
          <w:i w:val="0"/>
          <w:iCs w:val="0"/>
          <w:caps w:val="0"/>
          <w:color w:val="auto"/>
          <w:spacing w:val="0"/>
          <w:sz w:val="32"/>
          <w:szCs w:val="32"/>
          <w:u w:val="none"/>
          <w:shd w:val="clear" w:fill="FFFFFF"/>
        </w:rPr>
        <w:instrText xml:space="preserve"> HYPERLINK "http://www.chinatax.gov.cn/n810341/n810755/c2043931/5127107/files/36e4f5939c5a429883b04ae8e95a14a1.doc" \t "http://www.chinatax.gov.cn/n810341/n810755/c2043931/_blank" </w:instrText>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separate"/>
      </w:r>
      <w:r>
        <w:rPr>
          <w:rStyle w:val="7"/>
          <w:rFonts w:hint="eastAsia" w:ascii="方正小标宋简体" w:hAnsi="方正小标宋简体" w:eastAsia="方正小标宋简体" w:cs="方正小标宋简体"/>
          <w:i w:val="0"/>
          <w:iCs w:val="0"/>
          <w:caps w:val="0"/>
          <w:color w:val="auto"/>
          <w:spacing w:val="0"/>
          <w:sz w:val="32"/>
          <w:szCs w:val="32"/>
          <w:u w:val="none"/>
          <w:shd w:val="clear" w:fill="FFFFFF"/>
        </w:rPr>
        <w:t>跨境应税行为适用增值税零税率和免税政策的规定</w:t>
      </w:r>
      <w:r>
        <w:rPr>
          <w:rFonts w:hint="eastAsia" w:ascii="方正小标宋简体" w:hAnsi="方正小标宋简体" w:eastAsia="方正小标宋简体" w:cs="方正小标宋简体"/>
          <w:i w:val="0"/>
          <w:iCs w:val="0"/>
          <w:caps w:val="0"/>
          <w:color w:val="auto"/>
          <w:spacing w:val="0"/>
          <w:sz w:val="32"/>
          <w:szCs w:val="32"/>
          <w:u w:val="none"/>
          <w:shd w:val="clear" w:fill="FFFFFF"/>
        </w:rPr>
        <w:fldChar w:fldCharType="end"/>
      </w:r>
    </w:p>
    <w:p>
      <w:pPr>
        <w:pStyle w:val="3"/>
        <w:keepNext w:val="0"/>
        <w:keepLines w:val="0"/>
        <w:pageBreakBefore w:val="0"/>
        <w:widowControl/>
        <w:numPr>
          <w:ilvl w:val="0"/>
          <w:numId w:val="5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中华人民共和国境内（以下称境内）的单位和个人销售的下列服务和无形资产，适用增值税零税率：</w:t>
      </w:r>
    </w:p>
    <w:p>
      <w:pPr>
        <w:pStyle w:val="3"/>
        <w:keepNext w:val="0"/>
        <w:keepLines w:val="0"/>
        <w:pageBreakBefore w:val="0"/>
        <w:widowControl/>
        <w:numPr>
          <w:ilvl w:val="0"/>
          <w:numId w:val="5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国际运输服务。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国际运输服务，是指：</w:t>
      </w:r>
    </w:p>
    <w:p>
      <w:pPr>
        <w:pStyle w:val="3"/>
        <w:keepNext w:val="0"/>
        <w:keepLines w:val="0"/>
        <w:pageBreakBefore w:val="0"/>
        <w:widowControl/>
        <w:numPr>
          <w:ilvl w:val="0"/>
          <w:numId w:val="5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在境内载运旅客或者货物出境。</w:t>
      </w:r>
    </w:p>
    <w:p>
      <w:pPr>
        <w:pStyle w:val="3"/>
        <w:keepNext w:val="0"/>
        <w:keepLines w:val="0"/>
        <w:pageBreakBefore w:val="0"/>
        <w:widowControl/>
        <w:numPr>
          <w:ilvl w:val="0"/>
          <w:numId w:val="5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在境外载运旅客或者货物入境。</w:t>
      </w:r>
    </w:p>
    <w:p>
      <w:pPr>
        <w:pStyle w:val="3"/>
        <w:keepNext w:val="0"/>
        <w:keepLines w:val="0"/>
        <w:pageBreakBefore w:val="0"/>
        <w:widowControl/>
        <w:numPr>
          <w:ilvl w:val="0"/>
          <w:numId w:val="58"/>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在境外载运旅客或者货物。</w:t>
      </w:r>
    </w:p>
    <w:p>
      <w:pPr>
        <w:pStyle w:val="3"/>
        <w:keepNext w:val="0"/>
        <w:keepLines w:val="0"/>
        <w:pageBreakBefore w:val="0"/>
        <w:widowControl/>
        <w:numPr>
          <w:ilvl w:val="0"/>
          <w:numId w:val="5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航天运输服务</w:t>
      </w:r>
    </w:p>
    <w:p>
      <w:pPr>
        <w:pStyle w:val="3"/>
        <w:keepNext w:val="0"/>
        <w:keepLines w:val="0"/>
        <w:pageBreakBefore w:val="0"/>
        <w:widowControl/>
        <w:numPr>
          <w:ilvl w:val="0"/>
          <w:numId w:val="5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向境外单位提供的完全在境外消费的下列服务：</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研发服务。</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合同能源管理服务。</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设计服务。</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广播影视节目(作品)的制作和发行服务。</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软件服务。</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电路设计及测试服务。</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信息系统服务。</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业务流程管理服务。</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离岸服务外包业务。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离岸服务外包业务，包括信息技术外包服务（ITO）、技术性业务流程外包服务（BPO）、技术性知识流程外包服务（KPO），其所涉及的具体业务活动，按照《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"https://www.waizi.org.cn/law/9777.html" \o "《销售服务、无形资产、不动产注释》2016年版全文"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销售服务、无形资产、不动产注释</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》相对应的业务活动执行。</w:t>
      </w:r>
    </w:p>
    <w:p>
      <w:pPr>
        <w:pStyle w:val="3"/>
        <w:keepNext w:val="0"/>
        <w:keepLines w:val="0"/>
        <w:pageBreakBefore w:val="0"/>
        <w:widowControl/>
        <w:numPr>
          <w:ilvl w:val="0"/>
          <w:numId w:val="59"/>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转让技术。</w:t>
      </w:r>
    </w:p>
    <w:p>
      <w:pPr>
        <w:pStyle w:val="3"/>
        <w:keepNext w:val="0"/>
        <w:keepLines w:val="0"/>
        <w:pageBreakBefore w:val="0"/>
        <w:widowControl/>
        <w:numPr>
          <w:ilvl w:val="0"/>
          <w:numId w:val="57"/>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财政部和国家税务总局规定的其他服务。</w:t>
      </w:r>
    </w:p>
    <w:p>
      <w:pPr>
        <w:pStyle w:val="3"/>
        <w:keepNext w:val="0"/>
        <w:keepLines w:val="0"/>
        <w:pageBreakBefore w:val="0"/>
        <w:widowControl/>
        <w:numPr>
          <w:ilvl w:val="0"/>
          <w:numId w:val="5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境内的单位和个人销售的下列服务和无形资产免征增值税，但财政部和国家税务总局规定适用增值税零税率的除外：</w:t>
      </w:r>
    </w:p>
    <w:p>
      <w:pPr>
        <w:pStyle w:val="3"/>
        <w:keepNext w:val="0"/>
        <w:keepLines w:val="0"/>
        <w:pageBreakBefore w:val="0"/>
        <w:widowControl/>
        <w:numPr>
          <w:ilvl w:val="0"/>
          <w:numId w:val="6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下列服务：</w:t>
      </w:r>
    </w:p>
    <w:p>
      <w:pPr>
        <w:pStyle w:val="3"/>
        <w:keepNext w:val="0"/>
        <w:keepLines w:val="0"/>
        <w:pageBreakBefore w:val="0"/>
        <w:widowControl/>
        <w:numPr>
          <w:ilvl w:val="0"/>
          <w:numId w:val="6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工程项目在境外的建筑服务。</w:t>
      </w:r>
    </w:p>
    <w:p>
      <w:pPr>
        <w:pStyle w:val="3"/>
        <w:keepNext w:val="0"/>
        <w:keepLines w:val="0"/>
        <w:pageBreakBefore w:val="0"/>
        <w:widowControl/>
        <w:numPr>
          <w:ilvl w:val="0"/>
          <w:numId w:val="6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工程项目在境外的工程监理服务。</w:t>
      </w:r>
    </w:p>
    <w:p>
      <w:pPr>
        <w:pStyle w:val="3"/>
        <w:keepNext w:val="0"/>
        <w:keepLines w:val="0"/>
        <w:pageBreakBefore w:val="0"/>
        <w:widowControl/>
        <w:numPr>
          <w:ilvl w:val="0"/>
          <w:numId w:val="6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工程、矿产资源在境外的工程勘察勘探服务。</w:t>
      </w:r>
    </w:p>
    <w:p>
      <w:pPr>
        <w:pStyle w:val="3"/>
        <w:keepNext w:val="0"/>
        <w:keepLines w:val="0"/>
        <w:pageBreakBefore w:val="0"/>
        <w:widowControl/>
        <w:numPr>
          <w:ilvl w:val="0"/>
          <w:numId w:val="6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会议展览地点在境外的会议展览服务。</w:t>
      </w:r>
    </w:p>
    <w:p>
      <w:pPr>
        <w:pStyle w:val="3"/>
        <w:keepNext w:val="0"/>
        <w:keepLines w:val="0"/>
        <w:pageBreakBefore w:val="0"/>
        <w:widowControl/>
        <w:numPr>
          <w:ilvl w:val="0"/>
          <w:numId w:val="6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存储地点在境外的仓储服务。</w:t>
      </w:r>
    </w:p>
    <w:p>
      <w:pPr>
        <w:pStyle w:val="3"/>
        <w:keepNext w:val="0"/>
        <w:keepLines w:val="0"/>
        <w:pageBreakBefore w:val="0"/>
        <w:widowControl/>
        <w:numPr>
          <w:ilvl w:val="0"/>
          <w:numId w:val="6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标的物在境外使用的有形动产租赁服务。</w:t>
      </w:r>
    </w:p>
    <w:p>
      <w:pPr>
        <w:pStyle w:val="3"/>
        <w:keepNext w:val="0"/>
        <w:keepLines w:val="0"/>
        <w:pageBreakBefore w:val="0"/>
        <w:widowControl/>
        <w:numPr>
          <w:ilvl w:val="0"/>
          <w:numId w:val="6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在境外提供的广播影视节目(作品)的播映服务。</w:t>
      </w:r>
    </w:p>
    <w:p>
      <w:pPr>
        <w:pStyle w:val="3"/>
        <w:keepNext w:val="0"/>
        <w:keepLines w:val="0"/>
        <w:pageBreakBefore w:val="0"/>
        <w:widowControl/>
        <w:numPr>
          <w:ilvl w:val="0"/>
          <w:numId w:val="6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在境外提供的文化体育服务、教育医疗服务、旅游服务。</w:t>
      </w:r>
    </w:p>
    <w:p>
      <w:pPr>
        <w:pStyle w:val="3"/>
        <w:keepNext w:val="0"/>
        <w:keepLines w:val="0"/>
        <w:pageBreakBefore w:val="0"/>
        <w:widowControl/>
        <w:numPr>
          <w:ilvl w:val="0"/>
          <w:numId w:val="6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为出口货物提供的邮政服务、收派服务、保险服务。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为出口货物提供的保险服务，包括出口货物保险和出口信用保险。</w:t>
      </w:r>
    </w:p>
    <w:p>
      <w:pPr>
        <w:pStyle w:val="3"/>
        <w:keepNext w:val="0"/>
        <w:keepLines w:val="0"/>
        <w:pageBreakBefore w:val="0"/>
        <w:widowControl/>
        <w:numPr>
          <w:ilvl w:val="0"/>
          <w:numId w:val="6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向境外单位提供的完全在境外消费的下列服务和无形资产：</w:t>
      </w:r>
    </w:p>
    <w:p>
      <w:pPr>
        <w:pStyle w:val="3"/>
        <w:keepNext w:val="0"/>
        <w:keepLines w:val="0"/>
        <w:pageBreakBefore w:val="0"/>
        <w:widowControl/>
        <w:numPr>
          <w:ilvl w:val="0"/>
          <w:numId w:val="6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电信服务。</w:t>
      </w:r>
    </w:p>
    <w:p>
      <w:pPr>
        <w:pStyle w:val="3"/>
        <w:keepNext w:val="0"/>
        <w:keepLines w:val="0"/>
        <w:pageBreakBefore w:val="0"/>
        <w:widowControl/>
        <w:numPr>
          <w:ilvl w:val="0"/>
          <w:numId w:val="6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知识产权服务。</w:t>
      </w:r>
    </w:p>
    <w:p>
      <w:pPr>
        <w:pStyle w:val="3"/>
        <w:keepNext w:val="0"/>
        <w:keepLines w:val="0"/>
        <w:pageBreakBefore w:val="0"/>
        <w:widowControl/>
        <w:numPr>
          <w:ilvl w:val="0"/>
          <w:numId w:val="6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物流辅助服务（仓储服务、收派服务除外）。</w:t>
      </w:r>
    </w:p>
    <w:p>
      <w:pPr>
        <w:pStyle w:val="3"/>
        <w:keepNext w:val="0"/>
        <w:keepLines w:val="0"/>
        <w:pageBreakBefore w:val="0"/>
        <w:widowControl/>
        <w:numPr>
          <w:ilvl w:val="0"/>
          <w:numId w:val="6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鉴证咨询服务。</w:t>
      </w:r>
    </w:p>
    <w:p>
      <w:pPr>
        <w:pStyle w:val="3"/>
        <w:keepNext w:val="0"/>
        <w:keepLines w:val="0"/>
        <w:pageBreakBefore w:val="0"/>
        <w:widowControl/>
        <w:numPr>
          <w:ilvl w:val="0"/>
          <w:numId w:val="6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专业技术服务。</w:t>
      </w:r>
    </w:p>
    <w:p>
      <w:pPr>
        <w:pStyle w:val="3"/>
        <w:keepNext w:val="0"/>
        <w:keepLines w:val="0"/>
        <w:pageBreakBefore w:val="0"/>
        <w:widowControl/>
        <w:numPr>
          <w:ilvl w:val="0"/>
          <w:numId w:val="6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商务辅助服务。</w:t>
      </w:r>
    </w:p>
    <w:p>
      <w:pPr>
        <w:pStyle w:val="3"/>
        <w:keepNext w:val="0"/>
        <w:keepLines w:val="0"/>
        <w:pageBreakBefore w:val="0"/>
        <w:widowControl/>
        <w:numPr>
          <w:ilvl w:val="0"/>
          <w:numId w:val="6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广告投放地在境外的广告服务。</w:t>
      </w:r>
    </w:p>
    <w:p>
      <w:pPr>
        <w:pStyle w:val="3"/>
        <w:keepNext w:val="0"/>
        <w:keepLines w:val="0"/>
        <w:pageBreakBefore w:val="0"/>
        <w:widowControl/>
        <w:numPr>
          <w:ilvl w:val="0"/>
          <w:numId w:val="6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无形资产。</w:t>
      </w:r>
    </w:p>
    <w:p>
      <w:pPr>
        <w:pStyle w:val="3"/>
        <w:keepNext w:val="0"/>
        <w:keepLines w:val="0"/>
        <w:pageBreakBefore w:val="0"/>
        <w:widowControl/>
        <w:numPr>
          <w:ilvl w:val="0"/>
          <w:numId w:val="6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以无运输工具承运方式提供的国际运输服务。</w:t>
      </w:r>
    </w:p>
    <w:p>
      <w:pPr>
        <w:pStyle w:val="3"/>
        <w:keepNext w:val="0"/>
        <w:keepLines w:val="0"/>
        <w:pageBreakBefore w:val="0"/>
        <w:widowControl/>
        <w:numPr>
          <w:ilvl w:val="0"/>
          <w:numId w:val="6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为境外单位之间的货币资金融通及其他金融业务提供的直接收费金融服务，且该服务与境内的货物、无形资产和不动产无关。</w:t>
      </w:r>
    </w:p>
    <w:p>
      <w:pPr>
        <w:pStyle w:val="3"/>
        <w:keepNext w:val="0"/>
        <w:keepLines w:val="0"/>
        <w:pageBreakBefore w:val="0"/>
        <w:widowControl/>
        <w:numPr>
          <w:ilvl w:val="0"/>
          <w:numId w:val="6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财政部和国家税务总局规定的其他服务。</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三、按照国家有关规定应取得相关资质的国际运输服务项目，纳税人取得相关资质的，适用增值税零税率政策，未取得的，适用增值税免税政策。</w:t>
      </w:r>
      <w:r>
        <w:rPr>
          <w:rFonts w:hint="eastAsia" w:ascii="仿宋_GB2312" w:hAnsi="仿宋_GB2312" w:eastAsia="仿宋_GB2312" w:cs="仿宋_GB2312"/>
          <w:i w:val="0"/>
          <w:iCs w:val="0"/>
          <w:caps w:val="0"/>
          <w:color w:val="auto"/>
          <w:spacing w:val="0"/>
          <w:sz w:val="32"/>
          <w:szCs w:val="32"/>
          <w:shd w:val="clear" w:fill="FFFFFF"/>
        </w:rPr>
        <w:br w:type="textWrapping"/>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境内的单位或个人提供程租服务，如果租赁的交通工具用于国际运输服务和港澳台运输服务，由出租方按规定申请适用增值税零税率。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境内的单位和个人向境内单位或个人提供期租、湿租服务，如果承租方利用租赁的交通工具向其他单位或个人提供国际运输服务和港澳台运输服务，由承租方适用增值税零税率。境内的单位或个人向境外单位或个人提供期租、湿租服务，由出租方适用增值税零税率。</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境内单位和个人以无运输工具承运方式提供的国际运输服务，由境内实际承运人适用增值税零税率；无运输工具承运业务的经营者适用增值税免税政策。</w:t>
      </w:r>
    </w:p>
    <w:p>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四、境内的单位和个人提供适用增值税零税率的服务或者形资产，如果属于适用简易计税方法的，实行免征增值税办法。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如果属于适用增值税一般计税方法的，生产企业实行免抵退税办法，外贸企业外购服务或者无形资产出口实行免退税办法，外贸企业直接将服务或自行研发的无形资产出口，视同生产企业连同其出口货物统一实行免抵退税办法。</w:t>
      </w:r>
      <w:r>
        <w:rPr>
          <w:rFonts w:hint="eastAsia" w:ascii="仿宋_GB2312" w:hAnsi="仿宋_GB2312" w:eastAsia="仿宋_GB2312" w:cs="仿宋_GB2312"/>
          <w:i w:val="0"/>
          <w:iCs w:val="0"/>
          <w:caps w:val="0"/>
          <w:color w:val="auto"/>
          <w:spacing w:val="0"/>
          <w:sz w:val="32"/>
          <w:szCs w:val="32"/>
          <w:shd w:val="clear" w:fill="FFFFFF"/>
        </w:rPr>
        <w:br w:type="textWrapping"/>
      </w:r>
      <w:r>
        <w:rPr>
          <w:rFonts w:hint="eastAsia" w:ascii="仿宋_GB2312" w:hAnsi="仿宋_GB2312" w:eastAsia="仿宋_GB2312" w:cs="仿宋_GB2312"/>
          <w:i w:val="0"/>
          <w:iCs w:val="0"/>
          <w:caps w:val="0"/>
          <w:color w:val="auto"/>
          <w:spacing w:val="0"/>
          <w:sz w:val="32"/>
          <w:szCs w:val="32"/>
          <w:shd w:val="clear" w:fill="FFFFFF"/>
        </w:rPr>
        <w:t>服务和无形资产的退税率为其按照《</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"https://www.waizi.org.cn/shuishounews/9779.html" \o "《营业税改征增值税试点实施办法》全文（财税〔2016〕36号附件1）"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营业税改征增值税试点实施办法</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第十五条第（一）至（三）项规定适用的增值税税率。实行退（免）税办法的服务和无形资产，如果主管税务机关认定出口价格偏高的，有权按照核定的出口价格计算退（免）税，核定的出口价格低于外贸企业购进价格的，低于部分对应的进项税额不予退税，转入成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五、境内的单位和个人销售适用增值税零税率的服务或无形资产的，可以放弃适用增值税零税率，选择免税或按规定缴纳增值税。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放弃适用增值税零税率后，36个月内不得再申请适用增值税零税率。</w:t>
      </w:r>
    </w:p>
    <w:p>
      <w:pPr>
        <w:pStyle w:val="3"/>
        <w:keepNext w:val="0"/>
        <w:keepLines w:val="0"/>
        <w:pageBreakBefore w:val="0"/>
        <w:widowControl/>
        <w:numPr>
          <w:ilvl w:val="0"/>
          <w:numId w:val="3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境内的单位和个人销售适用增值税零税率的服务或无形资产，按月向主管退税的税务机关申报办理增值税退（免）税手续。具体管理办法由国家税务总局商财政部另行制定。</w:t>
      </w:r>
    </w:p>
    <w:p>
      <w:pPr>
        <w:pStyle w:val="3"/>
        <w:keepNext w:val="0"/>
        <w:keepLines w:val="0"/>
        <w:pageBreakBefore w:val="0"/>
        <w:widowControl/>
        <w:numPr>
          <w:ilvl w:val="0"/>
          <w:numId w:val="3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本规定所称完全在境外消费，是指：</w:t>
      </w:r>
    </w:p>
    <w:p>
      <w:pPr>
        <w:pStyle w:val="3"/>
        <w:keepNext w:val="0"/>
        <w:keepLines w:val="0"/>
        <w:pageBreakBefore w:val="0"/>
        <w:widowControl/>
        <w:numPr>
          <w:ilvl w:val="0"/>
          <w:numId w:val="6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服务的实际接受方在境外，且与境内的货物和不动产无关。</w:t>
      </w:r>
    </w:p>
    <w:p>
      <w:pPr>
        <w:pStyle w:val="3"/>
        <w:keepNext w:val="0"/>
        <w:keepLines w:val="0"/>
        <w:pageBreakBefore w:val="0"/>
        <w:widowControl/>
        <w:numPr>
          <w:ilvl w:val="0"/>
          <w:numId w:val="6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无形资产完全在境外使用，且与境内的货物和不动产无关。</w:t>
      </w:r>
    </w:p>
    <w:p>
      <w:pPr>
        <w:pStyle w:val="3"/>
        <w:keepNext w:val="0"/>
        <w:keepLines w:val="0"/>
        <w:pageBreakBefore w:val="0"/>
        <w:widowControl/>
        <w:numPr>
          <w:ilvl w:val="0"/>
          <w:numId w:val="6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财政部和国家税务总局规定的其他情形。</w:t>
      </w:r>
    </w:p>
    <w:p>
      <w:pPr>
        <w:pStyle w:val="3"/>
        <w:keepNext w:val="0"/>
        <w:keepLines w:val="0"/>
        <w:pageBreakBefore w:val="0"/>
        <w:widowControl/>
        <w:numPr>
          <w:ilvl w:val="0"/>
          <w:numId w:val="3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境内单位和个人发生的与香港、澳门、台湾有关的应税行为，除本文另有规定外，参照上述规定执行。</w:t>
      </w:r>
    </w:p>
    <w:p>
      <w:pPr>
        <w:pStyle w:val="3"/>
        <w:keepNext w:val="0"/>
        <w:keepLines w:val="0"/>
        <w:pageBreakBefore w:val="0"/>
        <w:widowControl/>
        <w:numPr>
          <w:ilvl w:val="0"/>
          <w:numId w:val="3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2016年4月30日前签订的合同，符合《</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"https://www.waizi.org.cn/shuishounews/6444.html" \o "财税〔2013〕106号《财政部国家税务总局关于将铁路运输和邮政业纳入营业税改征增值税试点的通知》【条款失效】"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财政部国家税务总局关于将铁路运输和邮政业纳入营业税改征增值税试点的通知</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"https://www.waizi.org.cn/shuishounews/6444.html" \o "财税〔2013〕106号《财政部国家税务总局关于将铁路运输和邮政业纳入营业税改征增值税试点的通知》【条款失效】"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财税〔2013〕106号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）附件4和《</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"https://www.waizi.org.cn/shuishounews/7009.html" \o "财税〔2015〕118号《财政部国家税务总局关于影视等出口服务适用增值税零税率政策的通知》"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财政部国家税务总局关于影视等出口服务适用增值税零税率政策的通知</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u w:val="none"/>
          <w:shd w:val="clear" w:fill="FFFFFF"/>
        </w:rPr>
        <w:fldChar w:fldCharType="begin"/>
      </w:r>
      <w:r>
        <w:rPr>
          <w:rFonts w:hint="eastAsia" w:ascii="仿宋_GB2312" w:hAnsi="仿宋_GB2312" w:eastAsia="仿宋_GB2312" w:cs="仿宋_GB2312"/>
          <w:i w:val="0"/>
          <w:iCs w:val="0"/>
          <w:caps w:val="0"/>
          <w:color w:val="auto"/>
          <w:spacing w:val="0"/>
          <w:sz w:val="32"/>
          <w:szCs w:val="32"/>
          <w:u w:val="none"/>
          <w:shd w:val="clear" w:fill="FFFFFF"/>
        </w:rPr>
        <w:instrText xml:space="preserve"> HYPERLINK "https://www.waizi.org.cn/shuishounews/7009.html" \o "财税〔2015〕118号《财政部国家税务总局关于影视等出口服务适用增值税零税率政策的通知》" \t "https://www.waizi.org.cn/law/_blank" </w:instrText>
      </w:r>
      <w:r>
        <w:rPr>
          <w:rFonts w:hint="eastAsia" w:ascii="仿宋_GB2312" w:hAnsi="仿宋_GB2312" w:eastAsia="仿宋_GB2312" w:cs="仿宋_GB2312"/>
          <w:i w:val="0"/>
          <w:iCs w:val="0"/>
          <w:caps w:val="0"/>
          <w:color w:val="auto"/>
          <w:spacing w:val="0"/>
          <w:sz w:val="32"/>
          <w:szCs w:val="32"/>
          <w:u w:val="none"/>
          <w:shd w:val="clear" w:fill="FFFFFF"/>
        </w:rPr>
        <w:fldChar w:fldCharType="separate"/>
      </w:r>
      <w:r>
        <w:rPr>
          <w:rStyle w:val="7"/>
          <w:rFonts w:hint="eastAsia" w:ascii="仿宋_GB2312" w:hAnsi="仿宋_GB2312" w:eastAsia="仿宋_GB2312" w:cs="仿宋_GB2312"/>
          <w:i w:val="0"/>
          <w:iCs w:val="0"/>
          <w:caps w:val="0"/>
          <w:color w:val="auto"/>
          <w:spacing w:val="0"/>
          <w:sz w:val="32"/>
          <w:szCs w:val="32"/>
          <w:u w:val="none"/>
          <w:shd w:val="clear" w:fill="FFFFFF"/>
        </w:rPr>
        <w:t>财税〔2015〕118号</w:t>
      </w:r>
      <w:r>
        <w:rPr>
          <w:rFonts w:hint="eastAsia" w:ascii="仿宋_GB2312" w:hAnsi="仿宋_GB2312" w:eastAsia="仿宋_GB2312" w:cs="仿宋_GB2312"/>
          <w:i w:val="0"/>
          <w:iCs w:val="0"/>
          <w:caps w:val="0"/>
          <w:color w:val="auto"/>
          <w:spacing w:val="0"/>
          <w:sz w:val="32"/>
          <w:szCs w:val="32"/>
          <w:u w:val="none"/>
          <w:shd w:val="clear" w:fill="FFFFFF"/>
        </w:rPr>
        <w:fldChar w:fldCharType="end"/>
      </w:r>
      <w:r>
        <w:rPr>
          <w:rFonts w:hint="eastAsia" w:ascii="仿宋_GB2312" w:hAnsi="仿宋_GB2312" w:eastAsia="仿宋_GB2312" w:cs="仿宋_GB2312"/>
          <w:i w:val="0"/>
          <w:iCs w:val="0"/>
          <w:caps w:val="0"/>
          <w:color w:val="auto"/>
          <w:spacing w:val="0"/>
          <w:sz w:val="32"/>
          <w:szCs w:val="32"/>
          <w:shd w:val="clear" w:fill="FFFFFF"/>
        </w:rPr>
        <w:t>）规定的零税率或者免税政</w:t>
      </w:r>
      <w:bookmarkStart w:id="0" w:name="_GoBack"/>
      <w:bookmarkEnd w:id="0"/>
      <w:r>
        <w:rPr>
          <w:rFonts w:hint="eastAsia" w:ascii="仿宋_GB2312" w:hAnsi="仿宋_GB2312" w:eastAsia="仿宋_GB2312" w:cs="仿宋_GB2312"/>
          <w:i w:val="0"/>
          <w:iCs w:val="0"/>
          <w:caps w:val="0"/>
          <w:color w:val="auto"/>
          <w:spacing w:val="0"/>
          <w:sz w:val="32"/>
          <w:szCs w:val="32"/>
          <w:shd w:val="clear" w:fill="FFFFFF"/>
        </w:rPr>
        <w:t>策条件的，在合同到期前可以继续享受零税率或者免税政策。</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500" w:right="0" w:rightChars="0"/>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E7122"/>
    <w:multiLevelType w:val="singleLevel"/>
    <w:tmpl w:val="97BE7122"/>
    <w:lvl w:ilvl="0" w:tentative="0">
      <w:start w:val="1"/>
      <w:numFmt w:val="decimal"/>
      <w:lvlText w:val="%1."/>
      <w:lvlJc w:val="left"/>
      <w:pPr>
        <w:tabs>
          <w:tab w:val="left" w:pos="312"/>
        </w:tabs>
      </w:pPr>
    </w:lvl>
  </w:abstractNum>
  <w:abstractNum w:abstractNumId="1">
    <w:nsid w:val="9970A895"/>
    <w:multiLevelType w:val="singleLevel"/>
    <w:tmpl w:val="9970A895"/>
    <w:lvl w:ilvl="0" w:tentative="0">
      <w:start w:val="1"/>
      <w:numFmt w:val="decimal"/>
      <w:suff w:val="nothing"/>
      <w:lvlText w:val="（%1）"/>
      <w:lvlJc w:val="left"/>
    </w:lvl>
  </w:abstractNum>
  <w:abstractNum w:abstractNumId="2">
    <w:nsid w:val="9DB796AD"/>
    <w:multiLevelType w:val="singleLevel"/>
    <w:tmpl w:val="9DB796AD"/>
    <w:lvl w:ilvl="0" w:tentative="0">
      <w:start w:val="1"/>
      <w:numFmt w:val="decimal"/>
      <w:lvlText w:val="%1."/>
      <w:lvlJc w:val="left"/>
      <w:pPr>
        <w:tabs>
          <w:tab w:val="left" w:pos="312"/>
        </w:tabs>
      </w:pPr>
    </w:lvl>
  </w:abstractNum>
  <w:abstractNum w:abstractNumId="3">
    <w:nsid w:val="9DBB6F68"/>
    <w:multiLevelType w:val="singleLevel"/>
    <w:tmpl w:val="9DBB6F68"/>
    <w:lvl w:ilvl="0" w:tentative="0">
      <w:start w:val="1"/>
      <w:numFmt w:val="decimal"/>
      <w:suff w:val="nothing"/>
      <w:lvlText w:val="（%1）"/>
      <w:lvlJc w:val="left"/>
    </w:lvl>
  </w:abstractNum>
  <w:abstractNum w:abstractNumId="4">
    <w:nsid w:val="9FAB1F5D"/>
    <w:multiLevelType w:val="singleLevel"/>
    <w:tmpl w:val="9FAB1F5D"/>
    <w:lvl w:ilvl="0" w:tentative="0">
      <w:start w:val="1"/>
      <w:numFmt w:val="decimal"/>
      <w:suff w:val="nothing"/>
      <w:lvlText w:val="（%1）"/>
      <w:lvlJc w:val="left"/>
    </w:lvl>
  </w:abstractNum>
  <w:abstractNum w:abstractNumId="5">
    <w:nsid w:val="AFD20CAC"/>
    <w:multiLevelType w:val="singleLevel"/>
    <w:tmpl w:val="AFD20CAC"/>
    <w:lvl w:ilvl="0" w:tentative="0">
      <w:start w:val="1"/>
      <w:numFmt w:val="decimal"/>
      <w:lvlText w:val="%1."/>
      <w:lvlJc w:val="left"/>
      <w:pPr>
        <w:tabs>
          <w:tab w:val="left" w:pos="312"/>
        </w:tabs>
      </w:pPr>
    </w:lvl>
  </w:abstractNum>
  <w:abstractNum w:abstractNumId="6">
    <w:nsid w:val="AFF39147"/>
    <w:multiLevelType w:val="singleLevel"/>
    <w:tmpl w:val="AFF39147"/>
    <w:lvl w:ilvl="0" w:tentative="0">
      <w:start w:val="1"/>
      <w:numFmt w:val="decimal"/>
      <w:lvlText w:val="%1."/>
      <w:lvlJc w:val="left"/>
      <w:pPr>
        <w:tabs>
          <w:tab w:val="left" w:pos="312"/>
        </w:tabs>
      </w:pPr>
    </w:lvl>
  </w:abstractNum>
  <w:abstractNum w:abstractNumId="7">
    <w:nsid w:val="B88A0AB9"/>
    <w:multiLevelType w:val="singleLevel"/>
    <w:tmpl w:val="B88A0AB9"/>
    <w:lvl w:ilvl="0" w:tentative="0">
      <w:start w:val="1"/>
      <w:numFmt w:val="chineseCounting"/>
      <w:suff w:val="nothing"/>
      <w:lvlText w:val="%1、"/>
      <w:lvlJc w:val="left"/>
      <w:rPr>
        <w:rFonts w:hint="eastAsia"/>
      </w:rPr>
    </w:lvl>
  </w:abstractNum>
  <w:abstractNum w:abstractNumId="8">
    <w:nsid w:val="BDF8C31A"/>
    <w:multiLevelType w:val="singleLevel"/>
    <w:tmpl w:val="BDF8C31A"/>
    <w:lvl w:ilvl="0" w:tentative="0">
      <w:start w:val="1"/>
      <w:numFmt w:val="decimal"/>
      <w:suff w:val="nothing"/>
      <w:lvlText w:val="（%1）"/>
      <w:lvlJc w:val="left"/>
    </w:lvl>
  </w:abstractNum>
  <w:abstractNum w:abstractNumId="9">
    <w:nsid w:val="BF7E0D62"/>
    <w:multiLevelType w:val="singleLevel"/>
    <w:tmpl w:val="BF7E0D62"/>
    <w:lvl w:ilvl="0" w:tentative="0">
      <w:start w:val="1"/>
      <w:numFmt w:val="decimal"/>
      <w:suff w:val="nothing"/>
      <w:lvlText w:val="（%1）"/>
      <w:lvlJc w:val="left"/>
    </w:lvl>
  </w:abstractNum>
  <w:abstractNum w:abstractNumId="10">
    <w:nsid w:val="CAFE1114"/>
    <w:multiLevelType w:val="singleLevel"/>
    <w:tmpl w:val="CAFE1114"/>
    <w:lvl w:ilvl="0" w:tentative="0">
      <w:start w:val="1"/>
      <w:numFmt w:val="decimal"/>
      <w:lvlText w:val="%1."/>
      <w:lvlJc w:val="left"/>
      <w:pPr>
        <w:tabs>
          <w:tab w:val="left" w:pos="312"/>
        </w:tabs>
      </w:pPr>
    </w:lvl>
  </w:abstractNum>
  <w:abstractNum w:abstractNumId="11">
    <w:nsid w:val="CDF80DCD"/>
    <w:multiLevelType w:val="singleLevel"/>
    <w:tmpl w:val="CDF80DCD"/>
    <w:lvl w:ilvl="0" w:tentative="0">
      <w:start w:val="1"/>
      <w:numFmt w:val="chineseCounting"/>
      <w:suff w:val="nothing"/>
      <w:lvlText w:val="（%1）"/>
      <w:lvlJc w:val="left"/>
      <w:rPr>
        <w:rFonts w:hint="eastAsia"/>
      </w:rPr>
    </w:lvl>
  </w:abstractNum>
  <w:abstractNum w:abstractNumId="12">
    <w:nsid w:val="CEDEFC8A"/>
    <w:multiLevelType w:val="singleLevel"/>
    <w:tmpl w:val="CEDEFC8A"/>
    <w:lvl w:ilvl="0" w:tentative="0">
      <w:start w:val="1"/>
      <w:numFmt w:val="decimal"/>
      <w:lvlText w:val="%1."/>
      <w:lvlJc w:val="left"/>
      <w:pPr>
        <w:tabs>
          <w:tab w:val="left" w:pos="312"/>
        </w:tabs>
      </w:pPr>
    </w:lvl>
  </w:abstractNum>
  <w:abstractNum w:abstractNumId="13">
    <w:nsid w:val="CFBF0752"/>
    <w:multiLevelType w:val="singleLevel"/>
    <w:tmpl w:val="CFBF0752"/>
    <w:lvl w:ilvl="0" w:tentative="0">
      <w:start w:val="1"/>
      <w:numFmt w:val="chineseCounting"/>
      <w:suff w:val="nothing"/>
      <w:lvlText w:val="（%1）"/>
      <w:lvlJc w:val="left"/>
      <w:rPr>
        <w:rFonts w:hint="eastAsia"/>
      </w:rPr>
    </w:lvl>
  </w:abstractNum>
  <w:abstractNum w:abstractNumId="14">
    <w:nsid w:val="D2B2EE06"/>
    <w:multiLevelType w:val="singleLevel"/>
    <w:tmpl w:val="D2B2EE06"/>
    <w:lvl w:ilvl="0" w:tentative="0">
      <w:start w:val="1"/>
      <w:numFmt w:val="decimal"/>
      <w:lvlText w:val="%1."/>
      <w:lvlJc w:val="left"/>
      <w:pPr>
        <w:tabs>
          <w:tab w:val="left" w:pos="312"/>
        </w:tabs>
      </w:pPr>
    </w:lvl>
  </w:abstractNum>
  <w:abstractNum w:abstractNumId="15">
    <w:nsid w:val="D4DF4A27"/>
    <w:multiLevelType w:val="singleLevel"/>
    <w:tmpl w:val="D4DF4A27"/>
    <w:lvl w:ilvl="0" w:tentative="0">
      <w:start w:val="1"/>
      <w:numFmt w:val="decimal"/>
      <w:lvlText w:val="%1."/>
      <w:lvlJc w:val="left"/>
      <w:pPr>
        <w:tabs>
          <w:tab w:val="left" w:pos="312"/>
        </w:tabs>
      </w:pPr>
    </w:lvl>
  </w:abstractNum>
  <w:abstractNum w:abstractNumId="16">
    <w:nsid w:val="D4FE5653"/>
    <w:multiLevelType w:val="singleLevel"/>
    <w:tmpl w:val="D4FE5653"/>
    <w:lvl w:ilvl="0" w:tentative="0">
      <w:start w:val="1"/>
      <w:numFmt w:val="decimal"/>
      <w:lvlText w:val="%1."/>
      <w:lvlJc w:val="left"/>
      <w:pPr>
        <w:tabs>
          <w:tab w:val="left" w:pos="312"/>
        </w:tabs>
      </w:pPr>
    </w:lvl>
  </w:abstractNum>
  <w:abstractNum w:abstractNumId="17">
    <w:nsid w:val="D6FDAED7"/>
    <w:multiLevelType w:val="singleLevel"/>
    <w:tmpl w:val="D6FDAED7"/>
    <w:lvl w:ilvl="0" w:tentative="0">
      <w:start w:val="1"/>
      <w:numFmt w:val="chineseCounting"/>
      <w:suff w:val="nothing"/>
      <w:lvlText w:val="（%1）"/>
      <w:lvlJc w:val="left"/>
      <w:rPr>
        <w:rFonts w:hint="eastAsia"/>
      </w:rPr>
    </w:lvl>
  </w:abstractNum>
  <w:abstractNum w:abstractNumId="18">
    <w:nsid w:val="D7FB2FA4"/>
    <w:multiLevelType w:val="singleLevel"/>
    <w:tmpl w:val="D7FB2FA4"/>
    <w:lvl w:ilvl="0" w:tentative="0">
      <w:start w:val="1"/>
      <w:numFmt w:val="decimal"/>
      <w:lvlText w:val="%1."/>
      <w:lvlJc w:val="left"/>
      <w:pPr>
        <w:tabs>
          <w:tab w:val="left" w:pos="312"/>
        </w:tabs>
      </w:pPr>
    </w:lvl>
  </w:abstractNum>
  <w:abstractNum w:abstractNumId="19">
    <w:nsid w:val="D9E792FE"/>
    <w:multiLevelType w:val="singleLevel"/>
    <w:tmpl w:val="D9E792FE"/>
    <w:lvl w:ilvl="0" w:tentative="0">
      <w:start w:val="1"/>
      <w:numFmt w:val="decimal"/>
      <w:lvlText w:val="%1."/>
      <w:lvlJc w:val="left"/>
      <w:pPr>
        <w:tabs>
          <w:tab w:val="left" w:pos="312"/>
        </w:tabs>
      </w:pPr>
    </w:lvl>
  </w:abstractNum>
  <w:abstractNum w:abstractNumId="20">
    <w:nsid w:val="DF5D908C"/>
    <w:multiLevelType w:val="singleLevel"/>
    <w:tmpl w:val="DF5D908C"/>
    <w:lvl w:ilvl="0" w:tentative="0">
      <w:start w:val="1"/>
      <w:numFmt w:val="decimal"/>
      <w:suff w:val="nothing"/>
      <w:lvlText w:val="（%1）"/>
      <w:lvlJc w:val="left"/>
    </w:lvl>
  </w:abstractNum>
  <w:abstractNum w:abstractNumId="21">
    <w:nsid w:val="DF7E3663"/>
    <w:multiLevelType w:val="singleLevel"/>
    <w:tmpl w:val="DF7E3663"/>
    <w:lvl w:ilvl="0" w:tentative="0">
      <w:start w:val="1"/>
      <w:numFmt w:val="chineseCounting"/>
      <w:suff w:val="nothing"/>
      <w:lvlText w:val="（%1）"/>
      <w:lvlJc w:val="left"/>
      <w:rPr>
        <w:rFonts w:hint="eastAsia"/>
      </w:rPr>
    </w:lvl>
  </w:abstractNum>
  <w:abstractNum w:abstractNumId="22">
    <w:nsid w:val="DFFB105F"/>
    <w:multiLevelType w:val="singleLevel"/>
    <w:tmpl w:val="DFFB105F"/>
    <w:lvl w:ilvl="0" w:tentative="0">
      <w:start w:val="1"/>
      <w:numFmt w:val="decimal"/>
      <w:suff w:val="nothing"/>
      <w:lvlText w:val="（%1）"/>
      <w:lvlJc w:val="left"/>
    </w:lvl>
  </w:abstractNum>
  <w:abstractNum w:abstractNumId="23">
    <w:nsid w:val="E1FE1EEA"/>
    <w:multiLevelType w:val="singleLevel"/>
    <w:tmpl w:val="E1FE1EEA"/>
    <w:lvl w:ilvl="0" w:tentative="0">
      <w:start w:val="1"/>
      <w:numFmt w:val="decimal"/>
      <w:lvlText w:val="%1."/>
      <w:lvlJc w:val="left"/>
      <w:pPr>
        <w:tabs>
          <w:tab w:val="left" w:pos="312"/>
        </w:tabs>
      </w:pPr>
    </w:lvl>
  </w:abstractNum>
  <w:abstractNum w:abstractNumId="24">
    <w:nsid w:val="E7DA4290"/>
    <w:multiLevelType w:val="singleLevel"/>
    <w:tmpl w:val="E7DA4290"/>
    <w:lvl w:ilvl="0" w:tentative="0">
      <w:start w:val="1"/>
      <w:numFmt w:val="chineseCounting"/>
      <w:suff w:val="nothing"/>
      <w:lvlText w:val="（%1）"/>
      <w:lvlJc w:val="left"/>
      <w:rPr>
        <w:rFonts w:hint="eastAsia"/>
      </w:rPr>
    </w:lvl>
  </w:abstractNum>
  <w:abstractNum w:abstractNumId="25">
    <w:nsid w:val="E7DCA4A6"/>
    <w:multiLevelType w:val="singleLevel"/>
    <w:tmpl w:val="E7DCA4A6"/>
    <w:lvl w:ilvl="0" w:tentative="0">
      <w:start w:val="1"/>
      <w:numFmt w:val="decimal"/>
      <w:lvlText w:val="%1."/>
      <w:lvlJc w:val="left"/>
      <w:pPr>
        <w:tabs>
          <w:tab w:val="left" w:pos="312"/>
        </w:tabs>
      </w:pPr>
    </w:lvl>
  </w:abstractNum>
  <w:abstractNum w:abstractNumId="26">
    <w:nsid w:val="E9DD7E2C"/>
    <w:multiLevelType w:val="singleLevel"/>
    <w:tmpl w:val="E9DD7E2C"/>
    <w:lvl w:ilvl="0" w:tentative="0">
      <w:start w:val="1"/>
      <w:numFmt w:val="decimal"/>
      <w:lvlText w:val="%1."/>
      <w:lvlJc w:val="left"/>
      <w:pPr>
        <w:tabs>
          <w:tab w:val="left" w:pos="312"/>
        </w:tabs>
      </w:pPr>
    </w:lvl>
  </w:abstractNum>
  <w:abstractNum w:abstractNumId="27">
    <w:nsid w:val="EBBACBD0"/>
    <w:multiLevelType w:val="singleLevel"/>
    <w:tmpl w:val="EBBACBD0"/>
    <w:lvl w:ilvl="0" w:tentative="0">
      <w:start w:val="1"/>
      <w:numFmt w:val="decimal"/>
      <w:lvlText w:val="%1."/>
      <w:lvlJc w:val="left"/>
      <w:pPr>
        <w:tabs>
          <w:tab w:val="left" w:pos="312"/>
        </w:tabs>
      </w:pPr>
    </w:lvl>
  </w:abstractNum>
  <w:abstractNum w:abstractNumId="28">
    <w:nsid w:val="EEDF840F"/>
    <w:multiLevelType w:val="singleLevel"/>
    <w:tmpl w:val="EEDF840F"/>
    <w:lvl w:ilvl="0" w:tentative="0">
      <w:start w:val="1"/>
      <w:numFmt w:val="chineseCounting"/>
      <w:suff w:val="nothing"/>
      <w:lvlText w:val="（%1）"/>
      <w:lvlJc w:val="left"/>
      <w:rPr>
        <w:rFonts w:hint="eastAsia"/>
      </w:rPr>
    </w:lvl>
  </w:abstractNum>
  <w:abstractNum w:abstractNumId="29">
    <w:nsid w:val="EEFC79E2"/>
    <w:multiLevelType w:val="singleLevel"/>
    <w:tmpl w:val="EEFC79E2"/>
    <w:lvl w:ilvl="0" w:tentative="0">
      <w:start w:val="1"/>
      <w:numFmt w:val="chineseCounting"/>
      <w:suff w:val="nothing"/>
      <w:lvlText w:val="%1、"/>
      <w:lvlJc w:val="left"/>
      <w:rPr>
        <w:rFonts w:hint="eastAsia"/>
      </w:rPr>
    </w:lvl>
  </w:abstractNum>
  <w:abstractNum w:abstractNumId="30">
    <w:nsid w:val="EFBCC32B"/>
    <w:multiLevelType w:val="singleLevel"/>
    <w:tmpl w:val="EFBCC32B"/>
    <w:lvl w:ilvl="0" w:tentative="0">
      <w:start w:val="1"/>
      <w:numFmt w:val="chineseCounting"/>
      <w:suff w:val="nothing"/>
      <w:lvlText w:val="（%1）"/>
      <w:lvlJc w:val="left"/>
      <w:rPr>
        <w:rFonts w:hint="eastAsia"/>
      </w:rPr>
    </w:lvl>
  </w:abstractNum>
  <w:abstractNum w:abstractNumId="31">
    <w:nsid w:val="EFFA5FF6"/>
    <w:multiLevelType w:val="singleLevel"/>
    <w:tmpl w:val="EFFA5FF6"/>
    <w:lvl w:ilvl="0" w:tentative="0">
      <w:start w:val="1"/>
      <w:numFmt w:val="decimal"/>
      <w:lvlText w:val="%1."/>
      <w:lvlJc w:val="left"/>
      <w:pPr>
        <w:tabs>
          <w:tab w:val="left" w:pos="312"/>
        </w:tabs>
      </w:pPr>
    </w:lvl>
  </w:abstractNum>
  <w:abstractNum w:abstractNumId="32">
    <w:nsid w:val="EFFFB4F1"/>
    <w:multiLevelType w:val="singleLevel"/>
    <w:tmpl w:val="EFFFB4F1"/>
    <w:lvl w:ilvl="0" w:tentative="0">
      <w:start w:val="1"/>
      <w:numFmt w:val="chineseCounting"/>
      <w:suff w:val="nothing"/>
      <w:lvlText w:val="（%1）"/>
      <w:lvlJc w:val="left"/>
      <w:rPr>
        <w:rFonts w:hint="eastAsia"/>
      </w:rPr>
    </w:lvl>
  </w:abstractNum>
  <w:abstractNum w:abstractNumId="33">
    <w:nsid w:val="F3FEE2D0"/>
    <w:multiLevelType w:val="singleLevel"/>
    <w:tmpl w:val="F3FEE2D0"/>
    <w:lvl w:ilvl="0" w:tentative="0">
      <w:start w:val="1"/>
      <w:numFmt w:val="chineseCounting"/>
      <w:suff w:val="nothing"/>
      <w:lvlText w:val="（%1）"/>
      <w:lvlJc w:val="left"/>
      <w:rPr>
        <w:rFonts w:hint="eastAsia"/>
      </w:rPr>
    </w:lvl>
  </w:abstractNum>
  <w:abstractNum w:abstractNumId="34">
    <w:nsid w:val="F4F6CFD6"/>
    <w:multiLevelType w:val="singleLevel"/>
    <w:tmpl w:val="F4F6CFD6"/>
    <w:lvl w:ilvl="0" w:tentative="0">
      <w:start w:val="1"/>
      <w:numFmt w:val="decimal"/>
      <w:suff w:val="nothing"/>
      <w:lvlText w:val="（%1）"/>
      <w:lvlJc w:val="left"/>
    </w:lvl>
  </w:abstractNum>
  <w:abstractNum w:abstractNumId="35">
    <w:nsid w:val="F56FA4A3"/>
    <w:multiLevelType w:val="singleLevel"/>
    <w:tmpl w:val="F56FA4A3"/>
    <w:lvl w:ilvl="0" w:tentative="0">
      <w:start w:val="1"/>
      <w:numFmt w:val="chineseCounting"/>
      <w:suff w:val="nothing"/>
      <w:lvlText w:val="（%1）"/>
      <w:lvlJc w:val="left"/>
      <w:rPr>
        <w:rFonts w:hint="eastAsia"/>
      </w:rPr>
    </w:lvl>
  </w:abstractNum>
  <w:abstractNum w:abstractNumId="36">
    <w:nsid w:val="F5BF160D"/>
    <w:multiLevelType w:val="singleLevel"/>
    <w:tmpl w:val="F5BF160D"/>
    <w:lvl w:ilvl="0" w:tentative="0">
      <w:start w:val="1"/>
      <w:numFmt w:val="decimal"/>
      <w:lvlText w:val="%1."/>
      <w:lvlJc w:val="left"/>
      <w:pPr>
        <w:tabs>
          <w:tab w:val="left" w:pos="312"/>
        </w:tabs>
      </w:pPr>
    </w:lvl>
  </w:abstractNum>
  <w:abstractNum w:abstractNumId="37">
    <w:nsid w:val="F5FFB147"/>
    <w:multiLevelType w:val="singleLevel"/>
    <w:tmpl w:val="F5FFB147"/>
    <w:lvl w:ilvl="0" w:tentative="0">
      <w:start w:val="1"/>
      <w:numFmt w:val="decimal"/>
      <w:lvlText w:val="%1."/>
      <w:lvlJc w:val="left"/>
      <w:pPr>
        <w:tabs>
          <w:tab w:val="left" w:pos="312"/>
        </w:tabs>
      </w:pPr>
    </w:lvl>
  </w:abstractNum>
  <w:abstractNum w:abstractNumId="38">
    <w:nsid w:val="F77E6C88"/>
    <w:multiLevelType w:val="singleLevel"/>
    <w:tmpl w:val="F77E6C88"/>
    <w:lvl w:ilvl="0" w:tentative="0">
      <w:start w:val="1"/>
      <w:numFmt w:val="decimal"/>
      <w:lvlText w:val="%1."/>
      <w:lvlJc w:val="left"/>
      <w:pPr>
        <w:tabs>
          <w:tab w:val="left" w:pos="312"/>
        </w:tabs>
      </w:pPr>
    </w:lvl>
  </w:abstractNum>
  <w:abstractNum w:abstractNumId="39">
    <w:nsid w:val="F7ED07D9"/>
    <w:multiLevelType w:val="singleLevel"/>
    <w:tmpl w:val="F7ED07D9"/>
    <w:lvl w:ilvl="0" w:tentative="0">
      <w:start w:val="1"/>
      <w:numFmt w:val="decimal"/>
      <w:suff w:val="nothing"/>
      <w:lvlText w:val="（%1）"/>
      <w:lvlJc w:val="left"/>
    </w:lvl>
  </w:abstractNum>
  <w:abstractNum w:abstractNumId="40">
    <w:nsid w:val="F8FF4141"/>
    <w:multiLevelType w:val="singleLevel"/>
    <w:tmpl w:val="F8FF4141"/>
    <w:lvl w:ilvl="0" w:tentative="0">
      <w:start w:val="1"/>
      <w:numFmt w:val="chineseCounting"/>
      <w:suff w:val="nothing"/>
      <w:lvlText w:val="（%1）"/>
      <w:lvlJc w:val="left"/>
      <w:rPr>
        <w:rFonts w:hint="eastAsia"/>
      </w:rPr>
    </w:lvl>
  </w:abstractNum>
  <w:abstractNum w:abstractNumId="41">
    <w:nsid w:val="F9BF9A7F"/>
    <w:multiLevelType w:val="singleLevel"/>
    <w:tmpl w:val="F9BF9A7F"/>
    <w:lvl w:ilvl="0" w:tentative="0">
      <w:start w:val="1"/>
      <w:numFmt w:val="chineseCounting"/>
      <w:suff w:val="nothing"/>
      <w:lvlText w:val="（%1）"/>
      <w:lvlJc w:val="left"/>
      <w:rPr>
        <w:rFonts w:hint="eastAsia"/>
      </w:rPr>
    </w:lvl>
  </w:abstractNum>
  <w:abstractNum w:abstractNumId="42">
    <w:nsid w:val="FDC3495D"/>
    <w:multiLevelType w:val="singleLevel"/>
    <w:tmpl w:val="FDC3495D"/>
    <w:lvl w:ilvl="0" w:tentative="0">
      <w:start w:val="1"/>
      <w:numFmt w:val="decimal"/>
      <w:lvlText w:val="%1."/>
      <w:lvlJc w:val="left"/>
      <w:pPr>
        <w:tabs>
          <w:tab w:val="left" w:pos="312"/>
        </w:tabs>
      </w:pPr>
    </w:lvl>
  </w:abstractNum>
  <w:abstractNum w:abstractNumId="43">
    <w:nsid w:val="FDFACE86"/>
    <w:multiLevelType w:val="singleLevel"/>
    <w:tmpl w:val="FDFACE86"/>
    <w:lvl w:ilvl="0" w:tentative="0">
      <w:start w:val="1"/>
      <w:numFmt w:val="decimal"/>
      <w:suff w:val="nothing"/>
      <w:lvlText w:val="（%1）"/>
      <w:lvlJc w:val="left"/>
    </w:lvl>
  </w:abstractNum>
  <w:abstractNum w:abstractNumId="44">
    <w:nsid w:val="FF7C2873"/>
    <w:multiLevelType w:val="singleLevel"/>
    <w:tmpl w:val="FF7C2873"/>
    <w:lvl w:ilvl="0" w:tentative="0">
      <w:start w:val="1"/>
      <w:numFmt w:val="decimal"/>
      <w:lvlText w:val="%1."/>
      <w:lvlJc w:val="left"/>
      <w:pPr>
        <w:tabs>
          <w:tab w:val="left" w:pos="312"/>
        </w:tabs>
      </w:pPr>
    </w:lvl>
  </w:abstractNum>
  <w:abstractNum w:abstractNumId="45">
    <w:nsid w:val="FFEF23D1"/>
    <w:multiLevelType w:val="singleLevel"/>
    <w:tmpl w:val="FFEF23D1"/>
    <w:lvl w:ilvl="0" w:tentative="0">
      <w:start w:val="1"/>
      <w:numFmt w:val="decimal"/>
      <w:lvlText w:val="%1."/>
      <w:lvlJc w:val="left"/>
      <w:pPr>
        <w:tabs>
          <w:tab w:val="left" w:pos="312"/>
        </w:tabs>
      </w:pPr>
    </w:lvl>
  </w:abstractNum>
  <w:abstractNum w:abstractNumId="46">
    <w:nsid w:val="1B42F5E7"/>
    <w:multiLevelType w:val="singleLevel"/>
    <w:tmpl w:val="1B42F5E7"/>
    <w:lvl w:ilvl="0" w:tentative="0">
      <w:start w:val="1"/>
      <w:numFmt w:val="chineseCounting"/>
      <w:suff w:val="nothing"/>
      <w:lvlText w:val="%1、"/>
      <w:lvlJc w:val="left"/>
      <w:rPr>
        <w:rFonts w:hint="eastAsia"/>
      </w:rPr>
    </w:lvl>
  </w:abstractNum>
  <w:abstractNum w:abstractNumId="47">
    <w:nsid w:val="275FD99C"/>
    <w:multiLevelType w:val="singleLevel"/>
    <w:tmpl w:val="275FD99C"/>
    <w:lvl w:ilvl="0" w:tentative="0">
      <w:start w:val="1"/>
      <w:numFmt w:val="decimal"/>
      <w:suff w:val="nothing"/>
      <w:lvlText w:val="（%1）"/>
      <w:lvlJc w:val="left"/>
    </w:lvl>
  </w:abstractNum>
  <w:abstractNum w:abstractNumId="48">
    <w:nsid w:val="2D76A604"/>
    <w:multiLevelType w:val="singleLevel"/>
    <w:tmpl w:val="2D76A604"/>
    <w:lvl w:ilvl="0" w:tentative="0">
      <w:start w:val="1"/>
      <w:numFmt w:val="decimal"/>
      <w:lvlText w:val="%1."/>
      <w:lvlJc w:val="left"/>
      <w:pPr>
        <w:tabs>
          <w:tab w:val="left" w:pos="312"/>
        </w:tabs>
      </w:pPr>
    </w:lvl>
  </w:abstractNum>
  <w:abstractNum w:abstractNumId="49">
    <w:nsid w:val="33B6F308"/>
    <w:multiLevelType w:val="singleLevel"/>
    <w:tmpl w:val="33B6F308"/>
    <w:lvl w:ilvl="0" w:tentative="0">
      <w:start w:val="1"/>
      <w:numFmt w:val="decimal"/>
      <w:lvlText w:val="%1."/>
      <w:lvlJc w:val="left"/>
      <w:pPr>
        <w:tabs>
          <w:tab w:val="left" w:pos="312"/>
        </w:tabs>
      </w:pPr>
    </w:lvl>
  </w:abstractNum>
  <w:abstractNum w:abstractNumId="50">
    <w:nsid w:val="39EFF89B"/>
    <w:multiLevelType w:val="singleLevel"/>
    <w:tmpl w:val="39EFF89B"/>
    <w:lvl w:ilvl="0" w:tentative="0">
      <w:start w:val="1"/>
      <w:numFmt w:val="chineseCounting"/>
      <w:suff w:val="nothing"/>
      <w:lvlText w:val="（%1）"/>
      <w:lvlJc w:val="left"/>
      <w:rPr>
        <w:rFonts w:hint="eastAsia"/>
      </w:rPr>
    </w:lvl>
  </w:abstractNum>
  <w:abstractNum w:abstractNumId="51">
    <w:nsid w:val="3FCEC603"/>
    <w:multiLevelType w:val="singleLevel"/>
    <w:tmpl w:val="3FCEC603"/>
    <w:lvl w:ilvl="0" w:tentative="0">
      <w:start w:val="1"/>
      <w:numFmt w:val="chineseCounting"/>
      <w:suff w:val="nothing"/>
      <w:lvlText w:val="（%1）"/>
      <w:lvlJc w:val="left"/>
      <w:rPr>
        <w:rFonts w:hint="eastAsia"/>
      </w:rPr>
    </w:lvl>
  </w:abstractNum>
  <w:abstractNum w:abstractNumId="52">
    <w:nsid w:val="4FFEC625"/>
    <w:multiLevelType w:val="singleLevel"/>
    <w:tmpl w:val="4FFEC625"/>
    <w:lvl w:ilvl="0" w:tentative="0">
      <w:start w:val="1"/>
      <w:numFmt w:val="decimal"/>
      <w:lvlText w:val="%1."/>
      <w:lvlJc w:val="left"/>
      <w:pPr>
        <w:tabs>
          <w:tab w:val="left" w:pos="312"/>
        </w:tabs>
      </w:pPr>
    </w:lvl>
  </w:abstractNum>
  <w:abstractNum w:abstractNumId="53">
    <w:nsid w:val="5C524B89"/>
    <w:multiLevelType w:val="singleLevel"/>
    <w:tmpl w:val="5C524B89"/>
    <w:lvl w:ilvl="0" w:tentative="0">
      <w:start w:val="1"/>
      <w:numFmt w:val="chineseCounting"/>
      <w:suff w:val="nothing"/>
      <w:lvlText w:val="（%1）"/>
      <w:lvlJc w:val="left"/>
      <w:rPr>
        <w:rFonts w:hint="eastAsia"/>
      </w:rPr>
    </w:lvl>
  </w:abstractNum>
  <w:abstractNum w:abstractNumId="54">
    <w:nsid w:val="5D67925E"/>
    <w:multiLevelType w:val="singleLevel"/>
    <w:tmpl w:val="5D67925E"/>
    <w:lvl w:ilvl="0" w:tentative="0">
      <w:start w:val="1"/>
      <w:numFmt w:val="decimal"/>
      <w:lvlText w:val="%1."/>
      <w:lvlJc w:val="left"/>
      <w:pPr>
        <w:tabs>
          <w:tab w:val="left" w:pos="312"/>
        </w:tabs>
      </w:pPr>
    </w:lvl>
  </w:abstractNum>
  <w:abstractNum w:abstractNumId="55">
    <w:nsid w:val="6CEE4CF5"/>
    <w:multiLevelType w:val="singleLevel"/>
    <w:tmpl w:val="6CEE4CF5"/>
    <w:lvl w:ilvl="0" w:tentative="0">
      <w:start w:val="1"/>
      <w:numFmt w:val="chineseCounting"/>
      <w:suff w:val="nothing"/>
      <w:lvlText w:val="（%1）"/>
      <w:lvlJc w:val="left"/>
      <w:rPr>
        <w:rFonts w:hint="eastAsia"/>
      </w:rPr>
    </w:lvl>
  </w:abstractNum>
  <w:abstractNum w:abstractNumId="56">
    <w:nsid w:val="6F7EB4E7"/>
    <w:multiLevelType w:val="singleLevel"/>
    <w:tmpl w:val="6F7EB4E7"/>
    <w:lvl w:ilvl="0" w:tentative="0">
      <w:start w:val="1"/>
      <w:numFmt w:val="decimal"/>
      <w:lvlText w:val="%1."/>
      <w:lvlJc w:val="left"/>
      <w:pPr>
        <w:tabs>
          <w:tab w:val="left" w:pos="312"/>
        </w:tabs>
      </w:pPr>
    </w:lvl>
  </w:abstractNum>
  <w:abstractNum w:abstractNumId="57">
    <w:nsid w:val="75FA6CB0"/>
    <w:multiLevelType w:val="singleLevel"/>
    <w:tmpl w:val="75FA6CB0"/>
    <w:lvl w:ilvl="0" w:tentative="0">
      <w:start w:val="1"/>
      <w:numFmt w:val="chineseCounting"/>
      <w:suff w:val="nothing"/>
      <w:lvlText w:val="（%1）"/>
      <w:lvlJc w:val="left"/>
      <w:rPr>
        <w:rFonts w:hint="eastAsia"/>
      </w:rPr>
    </w:lvl>
  </w:abstractNum>
  <w:abstractNum w:abstractNumId="58">
    <w:nsid w:val="7C7CD768"/>
    <w:multiLevelType w:val="singleLevel"/>
    <w:tmpl w:val="7C7CD768"/>
    <w:lvl w:ilvl="0" w:tentative="0">
      <w:start w:val="3"/>
      <w:numFmt w:val="chineseCounting"/>
      <w:lvlText w:val="(%1)"/>
      <w:lvlJc w:val="left"/>
      <w:pPr>
        <w:tabs>
          <w:tab w:val="left" w:pos="312"/>
        </w:tabs>
      </w:pPr>
      <w:rPr>
        <w:rFonts w:hint="eastAsia"/>
      </w:rPr>
    </w:lvl>
  </w:abstractNum>
  <w:abstractNum w:abstractNumId="59">
    <w:nsid w:val="7DEE9EC7"/>
    <w:multiLevelType w:val="singleLevel"/>
    <w:tmpl w:val="7DEE9EC7"/>
    <w:lvl w:ilvl="0" w:tentative="0">
      <w:start w:val="1"/>
      <w:numFmt w:val="chineseCounting"/>
      <w:suff w:val="nothing"/>
      <w:lvlText w:val="（%1）"/>
      <w:lvlJc w:val="left"/>
      <w:rPr>
        <w:rFonts w:hint="eastAsia"/>
      </w:rPr>
    </w:lvl>
  </w:abstractNum>
  <w:abstractNum w:abstractNumId="60">
    <w:nsid w:val="7DEF61D0"/>
    <w:multiLevelType w:val="singleLevel"/>
    <w:tmpl w:val="7DEF61D0"/>
    <w:lvl w:ilvl="0" w:tentative="0">
      <w:start w:val="1"/>
      <w:numFmt w:val="chineseCounting"/>
      <w:suff w:val="space"/>
      <w:lvlText w:val="第%1章"/>
      <w:lvlJc w:val="left"/>
      <w:rPr>
        <w:rFonts w:hint="eastAsia"/>
      </w:rPr>
    </w:lvl>
  </w:abstractNum>
  <w:abstractNum w:abstractNumId="61">
    <w:nsid w:val="7FB5F191"/>
    <w:multiLevelType w:val="singleLevel"/>
    <w:tmpl w:val="7FB5F191"/>
    <w:lvl w:ilvl="0" w:tentative="0">
      <w:start w:val="3"/>
      <w:numFmt w:val="chineseCounting"/>
      <w:suff w:val="space"/>
      <w:lvlText w:val="第%1节"/>
      <w:lvlJc w:val="left"/>
      <w:rPr>
        <w:rFonts w:hint="eastAsia"/>
      </w:rPr>
    </w:lvl>
  </w:abstractNum>
  <w:abstractNum w:abstractNumId="62">
    <w:nsid w:val="7FBEB4BE"/>
    <w:multiLevelType w:val="singleLevel"/>
    <w:tmpl w:val="7FBEB4BE"/>
    <w:lvl w:ilvl="0" w:tentative="0">
      <w:start w:val="1"/>
      <w:numFmt w:val="decimal"/>
      <w:lvlText w:val="%1."/>
      <w:lvlJc w:val="left"/>
      <w:pPr>
        <w:tabs>
          <w:tab w:val="left" w:pos="312"/>
        </w:tabs>
      </w:pPr>
    </w:lvl>
  </w:abstractNum>
  <w:num w:numId="1">
    <w:abstractNumId w:val="60"/>
  </w:num>
  <w:num w:numId="2">
    <w:abstractNumId w:val="57"/>
  </w:num>
  <w:num w:numId="3">
    <w:abstractNumId w:val="54"/>
  </w:num>
  <w:num w:numId="4">
    <w:abstractNumId w:val="24"/>
  </w:num>
  <w:num w:numId="5">
    <w:abstractNumId w:val="32"/>
  </w:num>
  <w:num w:numId="6">
    <w:abstractNumId w:val="21"/>
  </w:num>
  <w:num w:numId="7">
    <w:abstractNumId w:val="53"/>
  </w:num>
  <w:num w:numId="8">
    <w:abstractNumId w:val="61"/>
  </w:num>
  <w:num w:numId="9">
    <w:abstractNumId w:val="28"/>
  </w:num>
  <w:num w:numId="10">
    <w:abstractNumId w:val="30"/>
  </w:num>
  <w:num w:numId="11">
    <w:abstractNumId w:val="35"/>
  </w:num>
  <w:num w:numId="12">
    <w:abstractNumId w:val="33"/>
  </w:num>
  <w:num w:numId="13">
    <w:abstractNumId w:val="55"/>
  </w:num>
  <w:num w:numId="14">
    <w:abstractNumId w:val="7"/>
  </w:num>
  <w:num w:numId="15">
    <w:abstractNumId w:val="11"/>
  </w:num>
  <w:num w:numId="16">
    <w:abstractNumId w:val="31"/>
  </w:num>
  <w:num w:numId="17">
    <w:abstractNumId w:val="23"/>
  </w:num>
  <w:num w:numId="18">
    <w:abstractNumId w:val="58"/>
  </w:num>
  <w:num w:numId="19">
    <w:abstractNumId w:val="2"/>
  </w:num>
  <w:num w:numId="20">
    <w:abstractNumId w:val="3"/>
  </w:num>
  <w:num w:numId="21">
    <w:abstractNumId w:val="43"/>
  </w:num>
  <w:num w:numId="22">
    <w:abstractNumId w:val="0"/>
  </w:num>
  <w:num w:numId="23">
    <w:abstractNumId w:val="16"/>
  </w:num>
  <w:num w:numId="24">
    <w:abstractNumId w:val="18"/>
  </w:num>
  <w:num w:numId="25">
    <w:abstractNumId w:val="22"/>
  </w:num>
  <w:num w:numId="26">
    <w:abstractNumId w:val="48"/>
  </w:num>
  <w:num w:numId="27">
    <w:abstractNumId w:val="15"/>
  </w:num>
  <w:num w:numId="28">
    <w:abstractNumId w:val="19"/>
  </w:num>
  <w:num w:numId="29">
    <w:abstractNumId w:val="52"/>
  </w:num>
  <w:num w:numId="30">
    <w:abstractNumId w:val="50"/>
  </w:num>
  <w:num w:numId="31">
    <w:abstractNumId w:val="49"/>
  </w:num>
  <w:num w:numId="32">
    <w:abstractNumId w:val="4"/>
  </w:num>
  <w:num w:numId="33">
    <w:abstractNumId w:val="46"/>
  </w:num>
  <w:num w:numId="34">
    <w:abstractNumId w:val="40"/>
  </w:num>
  <w:num w:numId="35">
    <w:abstractNumId w:val="14"/>
  </w:num>
  <w:num w:numId="36">
    <w:abstractNumId w:val="1"/>
  </w:num>
  <w:num w:numId="37">
    <w:abstractNumId w:val="8"/>
  </w:num>
  <w:num w:numId="38">
    <w:abstractNumId w:val="12"/>
  </w:num>
  <w:num w:numId="39">
    <w:abstractNumId w:val="9"/>
  </w:num>
  <w:num w:numId="40">
    <w:abstractNumId w:val="56"/>
  </w:num>
  <w:num w:numId="41">
    <w:abstractNumId w:val="27"/>
  </w:num>
  <w:num w:numId="42">
    <w:abstractNumId w:val="37"/>
  </w:num>
  <w:num w:numId="43">
    <w:abstractNumId w:val="39"/>
  </w:num>
  <w:num w:numId="44">
    <w:abstractNumId w:val="62"/>
  </w:num>
  <w:num w:numId="45">
    <w:abstractNumId w:val="6"/>
  </w:num>
  <w:num w:numId="46">
    <w:abstractNumId w:val="26"/>
  </w:num>
  <w:num w:numId="47">
    <w:abstractNumId w:val="10"/>
  </w:num>
  <w:num w:numId="48">
    <w:abstractNumId w:val="36"/>
  </w:num>
  <w:num w:numId="49">
    <w:abstractNumId w:val="25"/>
  </w:num>
  <w:num w:numId="50">
    <w:abstractNumId w:val="51"/>
  </w:num>
  <w:num w:numId="51">
    <w:abstractNumId w:val="13"/>
  </w:num>
  <w:num w:numId="52">
    <w:abstractNumId w:val="34"/>
  </w:num>
  <w:num w:numId="53">
    <w:abstractNumId w:val="45"/>
  </w:num>
  <w:num w:numId="54">
    <w:abstractNumId w:val="47"/>
  </w:num>
  <w:num w:numId="55">
    <w:abstractNumId w:val="20"/>
  </w:num>
  <w:num w:numId="56">
    <w:abstractNumId w:val="29"/>
  </w:num>
  <w:num w:numId="57">
    <w:abstractNumId w:val="59"/>
  </w:num>
  <w:num w:numId="58">
    <w:abstractNumId w:val="42"/>
  </w:num>
  <w:num w:numId="59">
    <w:abstractNumId w:val="5"/>
  </w:num>
  <w:num w:numId="60">
    <w:abstractNumId w:val="17"/>
  </w:num>
  <w:num w:numId="61">
    <w:abstractNumId w:val="44"/>
  </w:num>
  <w:num w:numId="62">
    <w:abstractNumId w:val="38"/>
  </w:num>
  <w:num w:numId="6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90DF0"/>
    <w:rsid w:val="1DE3024C"/>
    <w:rsid w:val="23D440C9"/>
    <w:rsid w:val="3EF78899"/>
    <w:rsid w:val="5BFDE92E"/>
    <w:rsid w:val="7EA90DF0"/>
    <w:rsid w:val="7EB7E2B7"/>
    <w:rsid w:val="DB3F6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225</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2022-03-20T21:16:00Z</dcterms:created>
  <dc:creator>小鹿不认路</dc:creator>
  <cp:lastModifiedBy>sugon</cp:lastModifiedBy>
  <dcterms:modified xsi:type="dcterms:W3CDTF">2022-03-21T14:10:25Z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9DD5F2D280A44D65A49BA6C871291717</vt:lpwstr>
  </property>
</Properties>
</file>